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80" w:lineRule="exact"/>
        <w:ind w:right="0"/>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eastAsia="zh-CN"/>
        </w:rPr>
        <w:t>福建省推进幼儿园与小学</w:t>
      </w:r>
      <w:r>
        <w:rPr>
          <w:rFonts w:hint="eastAsia" w:ascii="方正小标宋简体" w:hAnsi="方正小标宋简体" w:eastAsia="方正小标宋简体" w:cs="方正小标宋简体"/>
          <w:bCs/>
          <w:sz w:val="44"/>
          <w:szCs w:val="44"/>
        </w:rPr>
        <w:t>科学衔接</w:t>
      </w:r>
    </w:p>
    <w:p>
      <w:pPr>
        <w:keepNext w:val="0"/>
        <w:keepLines w:val="0"/>
        <w:pageBreakBefore w:val="0"/>
        <w:widowControl w:val="0"/>
        <w:kinsoku/>
        <w:wordWrap/>
        <w:overflowPunct/>
        <w:topLinePunct w:val="0"/>
        <w:autoSpaceDE/>
        <w:autoSpaceDN/>
        <w:bidi w:val="0"/>
        <w:adjustRightInd/>
        <w:snapToGrid/>
        <w:spacing w:line="780" w:lineRule="exact"/>
        <w:ind w:right="0"/>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pacing w:val="-11"/>
          <w:sz w:val="44"/>
          <w:szCs w:val="44"/>
          <w:lang w:eastAsia="zh-CN"/>
        </w:rPr>
        <w:t>攻坚行动</w:t>
      </w:r>
      <w:r>
        <w:rPr>
          <w:rFonts w:hint="eastAsia" w:ascii="方正小标宋简体" w:hAnsi="方正小标宋简体" w:eastAsia="方正小标宋简体" w:cs="方正小标宋简体"/>
          <w:bCs/>
          <w:spacing w:val="-11"/>
          <w:sz w:val="44"/>
          <w:szCs w:val="44"/>
        </w:rPr>
        <w:t>实施方案</w:t>
      </w:r>
    </w:p>
    <w:p>
      <w:pPr>
        <w:keepNext w:val="0"/>
        <w:keepLines w:val="0"/>
        <w:pageBreakBefore w:val="0"/>
        <w:widowControl w:val="0"/>
        <w:kinsoku/>
        <w:wordWrap/>
        <w:overflowPunct w:val="0"/>
        <w:topLinePunct w:val="0"/>
        <w:autoSpaceDE/>
        <w:autoSpaceDN/>
        <w:bidi w:val="0"/>
        <w:adjustRightInd w:val="0"/>
        <w:snapToGrid w:val="0"/>
        <w:spacing w:line="600" w:lineRule="exact"/>
        <w:ind w:right="0" w:firstLine="641"/>
        <w:textAlignment w:val="auto"/>
        <w:outlineLvl w:val="1"/>
        <w:rPr>
          <w:rFonts w:hint="eastAsia" w:eastAsia="仿宋_GB2312" w:cs="仿宋_GB2312"/>
          <w:sz w:val="32"/>
          <w:szCs w:val="36"/>
        </w:rPr>
      </w:pPr>
    </w:p>
    <w:p>
      <w:pPr>
        <w:keepNext w:val="0"/>
        <w:keepLines w:val="0"/>
        <w:pageBreakBefore w:val="0"/>
        <w:widowControl w:val="0"/>
        <w:kinsoku/>
        <w:wordWrap/>
        <w:overflowPunct w:val="0"/>
        <w:topLinePunct w:val="0"/>
        <w:autoSpaceDE/>
        <w:autoSpaceDN/>
        <w:bidi w:val="0"/>
        <w:adjustRightInd w:val="0"/>
        <w:snapToGrid w:val="0"/>
        <w:spacing w:line="600" w:lineRule="exact"/>
        <w:ind w:right="0" w:firstLine="641"/>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根据《教育部关于大力推进幼儿园与小学科学衔接的指导意见》（教基〔2021〕4号），为推进幼儿园与小学科学有效衔接，进一步提高教育质量，制定如下实施方案。</w:t>
      </w:r>
    </w:p>
    <w:p>
      <w:pPr>
        <w:keepNext w:val="0"/>
        <w:keepLines w:val="0"/>
        <w:pageBreakBefore w:val="0"/>
        <w:widowControl w:val="0"/>
        <w:kinsoku/>
        <w:wordWrap/>
        <w:overflowPunct w:val="0"/>
        <w:topLinePunct w:val="0"/>
        <w:autoSpaceDE/>
        <w:autoSpaceDN/>
        <w:bidi w:val="0"/>
        <w:adjustRightInd w:val="0"/>
        <w:snapToGrid w:val="0"/>
        <w:spacing w:line="600" w:lineRule="exact"/>
        <w:ind w:right="0" w:firstLine="641"/>
        <w:textAlignment w:val="auto"/>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一、指导思想</w:t>
      </w:r>
    </w:p>
    <w:p>
      <w:pPr>
        <w:keepNext w:val="0"/>
        <w:keepLines w:val="0"/>
        <w:pageBreakBefore w:val="0"/>
        <w:widowControl w:val="0"/>
        <w:kinsoku/>
        <w:wordWrap/>
        <w:overflowPunct w:val="0"/>
        <w:topLinePunct w:val="0"/>
        <w:autoSpaceDE/>
        <w:autoSpaceDN/>
        <w:bidi w:val="0"/>
        <w:adjustRightInd w:val="0"/>
        <w:snapToGrid w:val="0"/>
        <w:spacing w:line="600" w:lineRule="exact"/>
        <w:ind w:right="0" w:firstLine="641"/>
        <w:textAlignment w:val="auto"/>
        <w:outlineLvl w:val="1"/>
        <w:rPr>
          <w:rFonts w:hint="eastAsia" w:ascii="仿宋_GB2312" w:hAnsi="仿宋_GB2312" w:eastAsia="仿宋_GB2312" w:cs="仿宋_GB2312"/>
          <w:sz w:val="32"/>
          <w:szCs w:val="32"/>
        </w:rPr>
      </w:pPr>
      <w:r>
        <w:rPr>
          <w:rFonts w:hint="eastAsia" w:eastAsia="仿宋_GB2312" w:cs="仿宋_GB2312"/>
          <w:sz w:val="32"/>
          <w:szCs w:val="32"/>
        </w:rPr>
        <w:t>以习近平新时代中国特色社会主义思想为指导，全面贯彻党的教育方针，落实立德树人根本任务，遵循儿童身心发展规律和教育规律，深化基础教育课程改革，建立幼儿园与小学科学衔接的长效机制，全面提高教育质量，促进儿童德智体美劳全面发展和身心健康成长。</w:t>
      </w:r>
    </w:p>
    <w:p>
      <w:pPr>
        <w:keepNext w:val="0"/>
        <w:keepLines w:val="0"/>
        <w:pageBreakBefore w:val="0"/>
        <w:widowControl w:val="0"/>
        <w:kinsoku/>
        <w:wordWrap/>
        <w:overflowPunct w:val="0"/>
        <w:topLinePunct w:val="0"/>
        <w:autoSpaceDE/>
        <w:autoSpaceDN/>
        <w:bidi w:val="0"/>
        <w:adjustRightInd w:val="0"/>
        <w:snapToGrid w:val="0"/>
        <w:spacing w:line="600" w:lineRule="exact"/>
        <w:ind w:right="0" w:firstLine="641"/>
        <w:textAlignment w:val="auto"/>
        <w:outlineLvl w:val="1"/>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二、发展目标</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rPr>
          <w:rFonts w:eastAsia="楷体_GB2312" w:cs="楷体_GB2312"/>
          <w:b/>
          <w:sz w:val="32"/>
          <w:szCs w:val="32"/>
        </w:rPr>
      </w:pPr>
      <w:r>
        <w:rPr>
          <w:rFonts w:hint="eastAsia" w:eastAsia="仿宋_GB2312" w:cs="仿宋_GB2312"/>
          <w:sz w:val="32"/>
          <w:szCs w:val="32"/>
        </w:rPr>
        <w:t>全面推进幼儿园和小学实施入学准备和入学适应教育，减缓衔接坡度，帮助儿童顺利实现从幼儿园到小学的过渡。幼儿园和小学教师及家长的教育观念与教育行为明显转变，幼小协同的有效机制基本建立，科学衔接的教育生态基本形成。</w:t>
      </w:r>
    </w:p>
    <w:p>
      <w:pPr>
        <w:keepNext w:val="0"/>
        <w:keepLines w:val="0"/>
        <w:pageBreakBefore w:val="0"/>
        <w:widowControl w:val="0"/>
        <w:kinsoku/>
        <w:wordWrap/>
        <w:overflowPunct w:val="0"/>
        <w:topLinePunct w:val="0"/>
        <w:autoSpaceDE/>
        <w:autoSpaceDN/>
        <w:bidi w:val="0"/>
        <w:adjustRightInd w:val="0"/>
        <w:snapToGrid w:val="0"/>
        <w:spacing w:line="600" w:lineRule="exact"/>
        <w:ind w:right="0" w:firstLine="641"/>
        <w:textAlignment w:val="auto"/>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三</w:t>
      </w:r>
      <w:r>
        <w:rPr>
          <w:rFonts w:hint="eastAsia" w:ascii="黑体" w:hAnsi="黑体" w:eastAsia="黑体" w:cs="黑体"/>
          <w:sz w:val="32"/>
          <w:szCs w:val="32"/>
        </w:rPr>
        <w:t>、主要</w:t>
      </w:r>
      <w:r>
        <w:rPr>
          <w:rFonts w:hint="eastAsia" w:ascii="黑体" w:hAnsi="黑体" w:eastAsia="黑体" w:cs="黑体"/>
          <w:sz w:val="32"/>
          <w:szCs w:val="32"/>
          <w:lang w:eastAsia="zh-CN"/>
        </w:rPr>
        <w:t>措施</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left="0" w:leftChars="0" w:firstLine="643" w:firstLineChars="200"/>
        <w:jc w:val="both"/>
        <w:textAlignment w:val="baseline"/>
        <w:rPr>
          <w:rFonts w:hint="eastAsia" w:ascii="仿宋_GB2312" w:hAnsi="仿宋_GB2312" w:eastAsia="仿宋_GB2312" w:cs="仿宋_GB2312"/>
          <w:kern w:val="2"/>
          <w:sz w:val="32"/>
          <w:szCs w:val="32"/>
          <w:lang w:val="en-US" w:eastAsia="zh-CN" w:bidi="ar-SA"/>
        </w:rPr>
      </w:pPr>
      <w:r>
        <w:rPr>
          <w:rFonts w:hint="eastAsia" w:ascii="楷体" w:hAnsi="楷体" w:eastAsia="楷体" w:cs="楷体"/>
          <w:b/>
          <w:kern w:val="2"/>
          <w:sz w:val="32"/>
          <w:szCs w:val="32"/>
          <w:lang w:val="en-US" w:eastAsia="zh-CN" w:bidi="ar-SA"/>
        </w:rPr>
        <w:t>（一）建立幼小双向衔接机制。</w:t>
      </w:r>
      <w:r>
        <w:rPr>
          <w:rFonts w:hint="eastAsia" w:ascii="仿宋_GB2312" w:hAnsi="仿宋_GB2312" w:eastAsia="仿宋_GB2312" w:cs="仿宋_GB2312"/>
          <w:kern w:val="2"/>
          <w:sz w:val="32"/>
          <w:szCs w:val="32"/>
          <w:lang w:val="en-US" w:eastAsia="zh-CN" w:bidi="ar-SA"/>
        </w:rPr>
        <w:t>推动幼儿园和小学从促进儿童身心持续发展的角度出发，围绕共同的教育目标，建立互相学习、互相支持的平等合作关系，双向互动，有效推动科学衔接。幼儿园要科学做好入学准备教育</w:t>
      </w:r>
      <w:r>
        <w:rPr>
          <w:rFonts w:hint="eastAsia" w:ascii="仿宋_GB2312" w:hAnsi="仿宋_GB2312" w:eastAsia="仿宋_GB2312"/>
          <w:sz w:val="32"/>
          <w:lang w:val="en-US" w:eastAsia="zh-CN"/>
        </w:rPr>
        <w:t>，坚持</w:t>
      </w:r>
      <w:r>
        <w:rPr>
          <w:rFonts w:hint="eastAsia" w:ascii="仿宋_GB2312" w:hAnsi="仿宋_GB2312" w:eastAsia="仿宋_GB2312"/>
          <w:sz w:val="32"/>
        </w:rPr>
        <w:t>贯彻落实《3-6岁儿童学习与发展指南》，</w:t>
      </w:r>
      <w:r>
        <w:rPr>
          <w:rFonts w:hint="eastAsia" w:ascii="仿宋_GB2312" w:hAnsi="仿宋_GB2312" w:eastAsia="仿宋_GB2312"/>
          <w:sz w:val="32"/>
          <w:lang w:val="en-US" w:eastAsia="zh-CN"/>
        </w:rPr>
        <w:t>以游戏为基本活动，</w:t>
      </w:r>
      <w:r>
        <w:rPr>
          <w:rFonts w:hint="eastAsia" w:ascii="仿宋_GB2312" w:hAnsi="仿宋_GB2312" w:eastAsia="仿宋_GB2312"/>
          <w:sz w:val="32"/>
        </w:rPr>
        <w:t>把入学准备教育目标和内容要求融入幼儿园游戏活动和一日生活，</w:t>
      </w:r>
      <w:r>
        <w:rPr>
          <w:rFonts w:hint="eastAsia" w:ascii="仿宋_GB2312" w:hAnsi="仿宋_GB2312" w:eastAsia="仿宋_GB2312"/>
          <w:sz w:val="32"/>
          <w:lang w:eastAsia="zh-CN"/>
        </w:rPr>
        <w:t>保护幼儿好奇心和学习兴趣，</w:t>
      </w:r>
      <w:r>
        <w:rPr>
          <w:rFonts w:hint="eastAsia" w:ascii="仿宋_GB2312" w:hAnsi="仿宋_GB2312" w:eastAsia="仿宋_GB2312"/>
          <w:sz w:val="32"/>
        </w:rPr>
        <w:t>支持幼儿通过直接感知、实际操作和亲身体验等方式积累经验，逐步做好身心各方面的准备。</w:t>
      </w:r>
      <w:r>
        <w:rPr>
          <w:rFonts w:hint="eastAsia" w:ascii="仿宋_GB2312" w:hAnsi="仿宋_GB2312" w:eastAsia="仿宋_GB2312"/>
          <w:sz w:val="32"/>
          <w:lang w:val="en-US" w:eastAsia="zh-CN"/>
        </w:rPr>
        <w:t>小学要树立衔接意识，在班级环</w:t>
      </w:r>
      <w:r>
        <w:rPr>
          <w:rFonts w:hint="eastAsia" w:ascii="仿宋_GB2312" w:hAnsi="仿宋_GB2312" w:eastAsia="仿宋_GB2312" w:cs="仿宋_GB2312"/>
          <w:kern w:val="2"/>
          <w:sz w:val="32"/>
          <w:szCs w:val="32"/>
          <w:lang w:val="en-US" w:eastAsia="zh-CN" w:bidi="ar-SA"/>
        </w:rPr>
        <w:t>境、课程内容、作息安排等方面做出全面适宜的安排。小学一年级重点实施入学适应教育，严禁入学考试，坚持“零起点”教学，慢速度、缓坡度、降难度，探索学科教学方式和活动组织方式变革，借鉴幼儿园课程组织和实施方式，强化探究性、项目式、体验式学习，要关注个体差异，帮助幼儿在小学找到安全感和归属感，逐步适应从游戏活动为主向课堂教学为主转变，以积极愉快的情绪投入小学生活。</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楷体" w:hAnsi="楷体" w:eastAsia="楷体" w:cs="楷体"/>
          <w:b/>
          <w:kern w:val="2"/>
          <w:sz w:val="32"/>
          <w:szCs w:val="32"/>
          <w:lang w:val="en-US" w:eastAsia="zh-CN" w:bidi="ar-SA"/>
        </w:rPr>
        <w:t>（二）搭建幼小联合教科研平台。</w:t>
      </w:r>
      <w:r>
        <w:rPr>
          <w:rFonts w:hint="eastAsia" w:ascii="仿宋_GB2312" w:hAnsi="仿宋_GB2312" w:eastAsia="仿宋_GB2312" w:cs="仿宋_GB2312"/>
          <w:kern w:val="2"/>
          <w:sz w:val="32"/>
          <w:szCs w:val="32"/>
          <w:lang w:val="en-US" w:eastAsia="zh-CN" w:bidi="ar-SA"/>
        </w:rPr>
        <w:t>各级教科研部门要把幼小衔接作为教科研工作的重要内容，纳入年度工作计划，推动建立幼小学段互通、内容融合的联合教科研制度。教科研部门要</w:t>
      </w:r>
      <w:r>
        <w:rPr>
          <w:rFonts w:hint="eastAsia" w:eastAsia="仿宋_GB2312" w:cs="仿宋_GB2312"/>
          <w:sz w:val="32"/>
          <w:szCs w:val="32"/>
        </w:rPr>
        <w:t>指导区域教研和园（校）本教研活动，</w:t>
      </w:r>
      <w:r>
        <w:rPr>
          <w:rFonts w:hint="eastAsia" w:ascii="仿宋_GB2312" w:hAnsi="仿宋_GB2312" w:eastAsia="仿宋_GB2312" w:cs="仿宋_GB2312"/>
          <w:kern w:val="2"/>
          <w:sz w:val="32"/>
          <w:szCs w:val="32"/>
          <w:lang w:val="en-US" w:eastAsia="zh-CN" w:bidi="ar-SA"/>
        </w:rPr>
        <w:t>定期组织开展幼小衔接专题教研，及时解决小学和幼儿园教师在幼小衔接实践中的突出问题。各级教育科研部门要将幼小科学衔接作为“十四五”教育规划科研项目的重要内容，在项目立项上给予倾斜支持，单列培育，引导各高等院校、教科研院所、一线学校等加强科学研究，强化科研引领，推进改革实验。鼓励学区内小学和幼儿园组建学习共同体，建立幼小联合教研和互访制度，采用主题教研、联合备课、教学展示、集中评课、经验交流、课题合作等多种方式，</w:t>
      </w:r>
      <w:r>
        <w:rPr>
          <w:rFonts w:hint="eastAsia" w:eastAsia="仿宋_GB2312" w:cs="仿宋_GB2312"/>
          <w:sz w:val="32"/>
          <w:szCs w:val="32"/>
        </w:rPr>
        <w:t>加强教师在儿童发展、课程、教学、管理等方面的研究交流，</w:t>
      </w:r>
      <w:r>
        <w:rPr>
          <w:rFonts w:hint="eastAsia" w:ascii="仿宋_GB2312" w:hAnsi="仿宋_GB2312" w:eastAsia="仿宋_GB2312" w:cs="仿宋_GB2312"/>
          <w:kern w:val="2"/>
          <w:sz w:val="32"/>
          <w:szCs w:val="32"/>
          <w:lang w:val="en-US" w:eastAsia="zh-CN" w:bidi="ar-SA"/>
        </w:rPr>
        <w:t>实现理念上和实践上的深度衔接。省级适时组织开展优秀改革案例遴选和幼小衔接教学研讨、论坛等活动，总结推广各地好做法好经验。</w:t>
      </w:r>
    </w:p>
    <w:p>
      <w:pPr>
        <w:pStyle w:val="17"/>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3"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楷体" w:hAnsi="楷体" w:eastAsia="楷体" w:cs="楷体"/>
          <w:b/>
          <w:kern w:val="2"/>
          <w:sz w:val="32"/>
          <w:szCs w:val="32"/>
          <w:lang w:val="en-US" w:eastAsia="zh-CN" w:bidi="ar-SA"/>
        </w:rPr>
        <w:t>（三）启动幼小衔接改革实验试点。</w:t>
      </w:r>
      <w:r>
        <w:rPr>
          <w:rFonts w:hint="eastAsia" w:ascii="仿宋_GB2312" w:hAnsi="仿宋_GB2312" w:eastAsia="仿宋_GB2312" w:cs="仿宋_GB2312"/>
          <w:kern w:val="2"/>
          <w:sz w:val="32"/>
          <w:szCs w:val="32"/>
          <w:lang w:val="en-US" w:eastAsia="zh-CN" w:bidi="ar-SA"/>
        </w:rPr>
        <w:t>省级</w:t>
      </w:r>
      <w:r>
        <w:rPr>
          <w:rFonts w:hint="eastAsia" w:ascii="仿宋_GB2312" w:hAnsi="仿宋_GB2312" w:eastAsia="仿宋_GB2312" w:cs="仿宋_GB2312"/>
          <w:color w:val="auto"/>
          <w:sz w:val="32"/>
          <w:szCs w:val="32"/>
        </w:rPr>
        <w:t>遴选确定一批幼小衔接实验区</w:t>
      </w:r>
      <w:r>
        <w:rPr>
          <w:rFonts w:hint="eastAsia" w:ascii="仿宋_GB2312" w:hAnsi="仿宋_GB2312" w:eastAsia="仿宋_GB2312" w:cs="仿宋_GB2312"/>
          <w:kern w:val="2"/>
          <w:sz w:val="32"/>
          <w:szCs w:val="32"/>
          <w:lang w:val="en-US" w:eastAsia="zh-CN" w:bidi="ar-SA"/>
        </w:rPr>
        <w:t>和试点校（园），先行试点，培育可复制可推广的改革经验，以点带面，分层推进。每个设区市</w:t>
      </w:r>
      <w:r>
        <w:rPr>
          <w:rFonts w:hint="eastAsia" w:ascii="仿宋_GB2312" w:hAnsi="仿宋_GB2312" w:eastAsia="仿宋_GB2312" w:cs="仿宋_GB2312"/>
          <w:color w:val="auto"/>
          <w:sz w:val="32"/>
          <w:szCs w:val="32"/>
          <w:lang w:eastAsia="zh-CN"/>
        </w:rPr>
        <w:t>推荐</w:t>
      </w:r>
      <w:r>
        <w:rPr>
          <w:rFonts w:hint="eastAsia" w:ascii="仿宋_GB2312" w:hAnsi="仿宋_GB2312" w:eastAsia="仿宋_GB2312" w:cs="仿宋_GB2312"/>
          <w:color w:val="auto"/>
          <w:sz w:val="32"/>
          <w:szCs w:val="32"/>
          <w:lang w:val="en-US" w:eastAsia="zh-CN"/>
        </w:rPr>
        <w:t>1个县（区）作为省级幼小衔接实验区，每个实验区遴选3对</w:t>
      </w:r>
      <w:r>
        <w:rPr>
          <w:rFonts w:hint="eastAsia" w:ascii="仿宋_GB2312" w:hAnsi="仿宋_GB2312" w:eastAsia="仿宋_GB2312" w:cs="仿宋_GB2312"/>
          <w:kern w:val="2"/>
          <w:sz w:val="32"/>
          <w:szCs w:val="32"/>
          <w:lang w:val="en-US" w:eastAsia="zh-CN" w:bidi="ar-SA"/>
        </w:rPr>
        <w:t>试点园试点小学，原则上要在同一学区内；省属学校需会同结对小学或幼儿园联合申报，双方学校根据各自隶属关系报请主办（管）单位同意后向省教育厅申报</w:t>
      </w:r>
      <w:r>
        <w:rPr>
          <w:rFonts w:hint="eastAsia" w:ascii="仿宋_GB2312" w:hAnsi="仿宋_GB2312" w:eastAsia="仿宋_GB2312" w:cs="仿宋_GB2312"/>
          <w:color w:val="auto"/>
          <w:sz w:val="32"/>
          <w:szCs w:val="32"/>
          <w:lang w:val="en-US" w:eastAsia="zh-CN"/>
        </w:rPr>
        <w:t>。申报的实验区要在推进幼小衔接工作方面有良好的基础，有较强的业务指导能力和研训支撑等条件保障。试点校（园）要有改革探索精神，善于反思钻研，无幼儿园“小学化”小学“非零起点”教学等违背儿童身心规律的教育行为。</w:t>
      </w:r>
      <w:r>
        <w:rPr>
          <w:rFonts w:hint="eastAsia" w:ascii="仿宋_GB2312" w:hAnsi="仿宋_GB2312" w:eastAsia="仿宋_GB2312" w:cs="仿宋_GB2312"/>
          <w:color w:val="auto"/>
          <w:sz w:val="32"/>
          <w:szCs w:val="32"/>
          <w:lang w:eastAsia="zh-CN"/>
        </w:rPr>
        <w:t>各设区市教育局</w:t>
      </w:r>
      <w:r>
        <w:rPr>
          <w:rFonts w:hint="eastAsia" w:ascii="仿宋_GB2312" w:hAnsi="仿宋_GB2312" w:eastAsia="仿宋_GB2312" w:cs="仿宋_GB2312"/>
          <w:color w:val="auto"/>
          <w:sz w:val="32"/>
          <w:szCs w:val="32"/>
          <w:lang w:val="en-US" w:eastAsia="zh-CN"/>
        </w:rPr>
        <w:t>（含平潭）请按要求组织填报《福建省幼小衔接实验区申报表》《福建省幼小衔接试点校（园）申报表》《福建</w:t>
      </w:r>
      <w:r>
        <w:rPr>
          <w:rFonts w:hint="default" w:ascii="仿宋_GB2312" w:hAnsi="仿宋_GB2312" w:eastAsia="仿宋_GB2312" w:cs="仿宋_GB2312"/>
          <w:color w:val="auto"/>
          <w:sz w:val="32"/>
          <w:szCs w:val="32"/>
          <w:lang w:val="en-US" w:eastAsia="zh-CN"/>
        </w:rPr>
        <w:t>省幼小衔接</w:t>
      </w:r>
      <w:r>
        <w:rPr>
          <w:rFonts w:hint="eastAsia" w:ascii="仿宋_GB2312" w:hAnsi="仿宋_GB2312" w:eastAsia="仿宋_GB2312" w:cs="仿宋_GB2312"/>
          <w:color w:val="auto"/>
          <w:sz w:val="32"/>
          <w:szCs w:val="32"/>
          <w:lang w:val="en-US" w:eastAsia="zh-CN"/>
        </w:rPr>
        <w:t>试点校（园）情况汇总</w:t>
      </w:r>
      <w:r>
        <w:rPr>
          <w:rFonts w:hint="default"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lang w:val="en-US" w:eastAsia="zh-CN"/>
        </w:rPr>
        <w:t>》（附件1、2、3、4），于7月30日前盖章报送我厅基础教育处，电子版发邮箱jytjjc@fjsjyt.cn。指导实验区抓紧研究，7月底前印发具体工作实施方案并</w:t>
      </w:r>
      <w:r>
        <w:rPr>
          <w:rFonts w:hint="eastAsia" w:ascii="仿宋_GB2312" w:hAnsi="仿宋_GB2312" w:eastAsia="仿宋_GB2312" w:cs="仿宋_GB2312"/>
          <w:kern w:val="2"/>
          <w:sz w:val="32"/>
          <w:szCs w:val="32"/>
          <w:lang w:val="en-US" w:eastAsia="zh-CN" w:bidi="ar-SA"/>
        </w:rPr>
        <w:t>抄送我厅。</w:t>
      </w:r>
    </w:p>
    <w:p>
      <w:pPr>
        <w:keepNext w:val="0"/>
        <w:keepLines w:val="0"/>
        <w:pageBreakBefore w:val="0"/>
        <w:widowControl w:val="0"/>
        <w:kinsoku/>
        <w:wordWrap/>
        <w:topLinePunct w:val="0"/>
        <w:autoSpaceDE/>
        <w:autoSpaceDN/>
        <w:bidi w:val="0"/>
        <w:spacing w:line="600" w:lineRule="exact"/>
        <w:ind w:firstLine="643" w:firstLineChars="200"/>
        <w:rPr>
          <w:rFonts w:hint="eastAsia" w:ascii="Calibri" w:hAnsi="Calibri" w:eastAsia="仿宋_GB2312" w:cs="仿宋_GB2312"/>
          <w:kern w:val="0"/>
          <w:sz w:val="32"/>
          <w:szCs w:val="32"/>
          <w:lang w:val="en-US" w:eastAsia="zh-CN" w:bidi="ar-SA"/>
        </w:rPr>
      </w:pPr>
      <w:r>
        <w:rPr>
          <w:rFonts w:hint="eastAsia" w:ascii="楷体" w:hAnsi="楷体" w:eastAsia="楷体" w:cs="楷体"/>
          <w:b/>
          <w:kern w:val="0"/>
          <w:sz w:val="32"/>
          <w:szCs w:val="32"/>
          <w:lang w:val="en-US" w:eastAsia="zh-CN" w:bidi="ar-SA"/>
        </w:rPr>
        <w:t>（四）强化</w:t>
      </w:r>
      <w:r>
        <w:rPr>
          <w:rFonts w:hint="eastAsia" w:ascii="楷体" w:hAnsi="楷体" w:eastAsia="楷体" w:cs="楷体"/>
          <w:b/>
          <w:sz w:val="32"/>
          <w:szCs w:val="32"/>
          <w:lang w:val="en-US" w:eastAsia="zh-CN"/>
        </w:rPr>
        <w:t>专业引领支撑</w:t>
      </w:r>
      <w:r>
        <w:rPr>
          <w:rFonts w:hint="eastAsia" w:ascii="楷体" w:hAnsi="楷体" w:eastAsia="楷体" w:cs="楷体"/>
          <w:b/>
          <w:sz w:val="32"/>
          <w:szCs w:val="32"/>
          <w:lang w:eastAsia="zh-CN"/>
        </w:rPr>
        <w:t>。</w:t>
      </w:r>
      <w:r>
        <w:rPr>
          <w:rFonts w:hint="eastAsia" w:ascii="Calibri" w:hAnsi="Calibri" w:eastAsia="仿宋_GB2312" w:cs="仿宋_GB2312"/>
          <w:kern w:val="0"/>
          <w:sz w:val="32"/>
          <w:szCs w:val="32"/>
          <w:lang w:val="en-US" w:eastAsia="zh-CN" w:bidi="ar-SA"/>
        </w:rPr>
        <w:t>省级遴选小学教育、学前教育、卫生健康、儿童行为学、儿童认知心理发展、特殊教育、课程建设等领域的专家，成立专家</w:t>
      </w:r>
      <w:r>
        <w:rPr>
          <w:rFonts w:hint="eastAsia" w:ascii="仿宋_GB2312" w:hAnsi="仿宋_GB2312" w:eastAsia="仿宋_GB2312" w:cs="仿宋_GB2312"/>
          <w:color w:val="auto"/>
          <w:kern w:val="0"/>
          <w:sz w:val="32"/>
          <w:szCs w:val="32"/>
          <w:lang w:val="en-US" w:eastAsia="zh-CN" w:bidi="ar-SA"/>
        </w:rPr>
        <w:t>指导组</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0"/>
          <w:sz w:val="32"/>
          <w:szCs w:val="32"/>
          <w:lang w:val="en-US" w:eastAsia="zh-CN" w:bidi="ar-SA"/>
        </w:rPr>
        <w:t>附件5</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0"/>
          <w:sz w:val="32"/>
          <w:szCs w:val="32"/>
          <w:lang w:val="en-US" w:eastAsia="zh-CN" w:bidi="ar-SA"/>
        </w:rPr>
        <w:t>，研发幼</w:t>
      </w:r>
      <w:r>
        <w:rPr>
          <w:rFonts w:hint="eastAsia" w:ascii="Calibri" w:hAnsi="Calibri" w:eastAsia="仿宋_GB2312" w:cs="仿宋_GB2312"/>
          <w:kern w:val="0"/>
          <w:sz w:val="32"/>
          <w:szCs w:val="32"/>
          <w:lang w:val="en-US" w:eastAsia="zh-CN" w:bidi="ar-SA"/>
        </w:rPr>
        <w:t>小科学衔接系列指导手册，对各地各校开展幼小衔接工作进行全方位指导。各地要相应成立专家团队，指导辖区及学校（园）制定实施幼小衔接实验方案，确保衔接工作的科学性和有效性。有计划地组织开展形式多样的教师研讨、交流，以及面向社会的宣讲活动和家庭教育指导活动，发挥专业引领作用。</w:t>
      </w:r>
    </w:p>
    <w:p>
      <w:pPr>
        <w:keepNext w:val="0"/>
        <w:keepLines w:val="0"/>
        <w:pageBreakBefore w:val="0"/>
        <w:widowControl w:val="0"/>
        <w:numPr>
          <w:ilvl w:val="0"/>
          <w:numId w:val="0"/>
        </w:numPr>
        <w:kinsoku/>
        <w:wordWrap/>
        <w:topLinePunct w:val="0"/>
        <w:autoSpaceDE/>
        <w:autoSpaceDN/>
        <w:bidi w:val="0"/>
        <w:spacing w:line="600" w:lineRule="exact"/>
        <w:ind w:firstLine="643" w:firstLineChars="200"/>
        <w:jc w:val="left"/>
        <w:rPr>
          <w:rFonts w:hint="eastAsia" w:ascii="仿宋_GB2312" w:hAnsi="仿宋_GB2312" w:eastAsia="仿宋_GB2312" w:cs="仿宋_GB2312"/>
          <w:color w:val="auto"/>
          <w:kern w:val="0"/>
          <w:sz w:val="32"/>
          <w:szCs w:val="32"/>
          <w:lang w:val="en-US" w:eastAsia="zh-CN" w:bidi="ar-SA"/>
        </w:rPr>
      </w:pPr>
      <w:r>
        <w:rPr>
          <w:rFonts w:hint="eastAsia" w:ascii="楷体" w:hAnsi="楷体" w:eastAsia="楷体" w:cs="楷体"/>
          <w:b/>
          <w:kern w:val="0"/>
          <w:sz w:val="32"/>
          <w:szCs w:val="32"/>
          <w:lang w:val="en-US" w:eastAsia="zh-CN" w:bidi="ar-SA"/>
        </w:rPr>
        <w:t>（五）</w:t>
      </w:r>
      <w:r>
        <w:rPr>
          <w:rFonts w:hint="eastAsia" w:ascii="楷体" w:hAnsi="楷体" w:eastAsia="楷体" w:cs="楷体"/>
          <w:b/>
          <w:sz w:val="32"/>
          <w:szCs w:val="32"/>
          <w:lang w:val="en-US" w:eastAsia="zh-CN"/>
        </w:rPr>
        <w:t>创设衔接校园环境。</w:t>
      </w:r>
      <w:r>
        <w:rPr>
          <w:rFonts w:hint="eastAsia" w:ascii="仿宋_GB2312" w:hAnsi="仿宋_GB2312" w:eastAsia="仿宋_GB2312" w:cs="仿宋_GB2312"/>
          <w:color w:val="auto"/>
          <w:kern w:val="0"/>
          <w:sz w:val="32"/>
          <w:szCs w:val="32"/>
          <w:lang w:val="en-US" w:eastAsia="zh-CN" w:bidi="ar-SA"/>
        </w:rPr>
        <w:t>幼儿园要为幼儿提供安全的户外活动场所，添置充足的图画书和方便、灵活多样的玩具等活动材料，满足幼儿成长需求。小学要创设与幼儿园相近环境，一年级的户外活动区域提供适宜的体育器材和游戏材料，张贴温馨的图文提示，帮助儿童熟悉校园环境。小学教师适当延续幼儿园教师教学语言和肢体语言，允许儿童适当携带自己喜欢的图书、玩具，增强心理安全感，缓解入学焦虑；有条件的学校可根据学生学习活动需要，适时调整空间布局，支持教师以游戏和活动的方式开展教育教学，营造游戏、实践、体验、探究的教育环境。</w:t>
      </w:r>
    </w:p>
    <w:p>
      <w:pPr>
        <w:pStyle w:val="1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color w:val="auto"/>
          <w:kern w:val="0"/>
          <w:sz w:val="32"/>
          <w:szCs w:val="32"/>
          <w:lang w:val="en-US" w:eastAsia="zh-CN" w:bidi="ar-SA"/>
        </w:rPr>
      </w:pPr>
      <w:r>
        <w:rPr>
          <w:rFonts w:hint="eastAsia" w:ascii="楷体" w:hAnsi="楷体" w:eastAsia="楷体" w:cs="楷体"/>
          <w:b/>
          <w:kern w:val="0"/>
          <w:sz w:val="32"/>
          <w:szCs w:val="32"/>
          <w:lang w:val="en-US" w:eastAsia="zh-CN" w:bidi="ar-SA"/>
        </w:rPr>
        <w:t>（六）加强教师培养培训。</w:t>
      </w:r>
      <w:r>
        <w:rPr>
          <w:rFonts w:hint="eastAsia" w:ascii="仿宋_GB2312" w:hAnsi="仿宋_GB2312" w:eastAsia="仿宋_GB2312" w:cs="仿宋_GB2312"/>
          <w:color w:val="auto"/>
          <w:kern w:val="0"/>
          <w:sz w:val="32"/>
          <w:szCs w:val="32"/>
          <w:lang w:val="en-US" w:eastAsia="zh-CN" w:bidi="ar-SA"/>
        </w:rPr>
        <w:t>高等师范院校要将科学幼小衔接的理念和内容纳入课程教学中，提升师范生科学实施幼小衔接的能力。各级教育行政部门要将幼小科学衔接相关专题纳入本级教师培训计划，制定培训方案，研发培训课程，线上线下相结合，让教师明晰幼小衔接工作的意义、任务与要求，了解衔接阶段幼儿身心发展特点和教育规律，树立科学衔接理念，掌握有效实施的方法与途径，提升教师培训的针对性和有效性，促进幼小衔接真正落地落实。</w:t>
      </w:r>
    </w:p>
    <w:p>
      <w:pPr>
        <w:pStyle w:val="17"/>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3" w:firstLineChars="200"/>
        <w:jc w:val="both"/>
        <w:textAlignment w:val="baseline"/>
        <w:rPr>
          <w:rFonts w:hint="eastAsia" w:eastAsia="仿宋_GB2312" w:cs="仿宋_GB2312"/>
          <w:sz w:val="32"/>
          <w:szCs w:val="32"/>
        </w:rPr>
      </w:pPr>
      <w:r>
        <w:rPr>
          <w:rFonts w:hint="eastAsia" w:ascii="楷体" w:hAnsi="楷体" w:eastAsia="楷体" w:cs="楷体"/>
          <w:b/>
          <w:kern w:val="0"/>
          <w:sz w:val="32"/>
          <w:szCs w:val="32"/>
          <w:lang w:val="en-US" w:eastAsia="zh-CN" w:bidi="ar-SA"/>
        </w:rPr>
        <w:t>（七）</w:t>
      </w:r>
      <w:r>
        <w:rPr>
          <w:rFonts w:hint="eastAsia" w:ascii="楷体" w:hAnsi="楷体" w:eastAsia="楷体" w:cs="楷体"/>
          <w:b/>
          <w:sz w:val="32"/>
          <w:szCs w:val="32"/>
          <w:lang w:val="en-US" w:eastAsia="zh-CN"/>
        </w:rPr>
        <w:t>建立家-园-校共育机制</w:t>
      </w:r>
      <w:r>
        <w:rPr>
          <w:rFonts w:hint="eastAsia" w:ascii="楷体" w:hAnsi="楷体" w:eastAsia="楷体" w:cs="楷体"/>
          <w:b/>
          <w:sz w:val="32"/>
          <w:szCs w:val="32"/>
          <w:lang w:eastAsia="zh-CN"/>
        </w:rPr>
        <w:t>。</w:t>
      </w:r>
      <w:r>
        <w:rPr>
          <w:rFonts w:hint="eastAsia" w:ascii="仿宋_GB2312" w:hAnsi="仿宋_GB2312" w:eastAsia="仿宋_GB2312" w:cs="仿宋_GB2312"/>
          <w:color w:val="auto"/>
          <w:kern w:val="0"/>
          <w:sz w:val="32"/>
          <w:szCs w:val="32"/>
          <w:lang w:val="en-US" w:eastAsia="zh-CN" w:bidi="ar-SA"/>
        </w:rPr>
        <w:t>幼儿园和小学要主动与家长沟通达成共识，共同做好幼小衔接工作。要充分发挥家长委员会的作用，通过家长学校、家长开放日、家长会、专家咨询、家访、网站、微信公众号等多种家园校协同沟通方式,</w:t>
      </w:r>
      <w:r>
        <w:rPr>
          <w:rFonts w:hint="eastAsia" w:eastAsia="仿宋_GB2312" w:cs="仿宋_GB2312"/>
          <w:sz w:val="32"/>
          <w:szCs w:val="32"/>
        </w:rPr>
        <w:t>积极宣传国家和地方的有关政策要求，宣传展示幼小双向衔接的科学理念和做法，帮助家长认识过度强化知识准备、提前学习小学课程内容的危害，缓解家长的压力和焦虑，营造良好的家庭教育氛围，积极配合幼儿园和小学做好衔接</w:t>
      </w:r>
      <w:r>
        <w:rPr>
          <w:rFonts w:hint="eastAsia" w:eastAsia="仿宋_GB2312" w:cs="仿宋_GB2312"/>
          <w:sz w:val="32"/>
          <w:szCs w:val="32"/>
          <w:lang w:eastAsia="zh-CN"/>
        </w:rPr>
        <w:t>，形成教育合力</w:t>
      </w:r>
      <w:r>
        <w:rPr>
          <w:rFonts w:hint="eastAsia" w:eastAsia="仿宋_GB2312" w:cs="仿宋_GB2312"/>
          <w:sz w:val="32"/>
          <w:szCs w:val="32"/>
        </w:rPr>
        <w:t>。</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color w:val="auto"/>
          <w:kern w:val="0"/>
          <w:sz w:val="32"/>
          <w:szCs w:val="32"/>
          <w:lang w:val="en-US" w:eastAsia="zh-CN" w:bidi="ar-SA"/>
        </w:rPr>
      </w:pPr>
      <w:r>
        <w:rPr>
          <w:rFonts w:hint="eastAsia" w:ascii="楷体" w:hAnsi="楷体" w:eastAsia="楷体" w:cs="楷体"/>
          <w:b/>
          <w:kern w:val="0"/>
          <w:sz w:val="32"/>
          <w:szCs w:val="32"/>
          <w:lang w:val="en-US" w:eastAsia="zh-CN" w:bidi="ar-SA"/>
        </w:rPr>
        <w:t>（八）强力推进综合治理。</w:t>
      </w:r>
      <w:r>
        <w:rPr>
          <w:rFonts w:hint="eastAsia" w:ascii="仿宋_GB2312" w:hAnsi="仿宋_GB2312" w:eastAsia="仿宋_GB2312" w:cs="仿宋_GB2312"/>
          <w:color w:val="auto"/>
          <w:kern w:val="0"/>
          <w:sz w:val="32"/>
          <w:szCs w:val="32"/>
          <w:lang w:val="en-US" w:eastAsia="zh-CN" w:bidi="ar-SA"/>
        </w:rPr>
        <w:t>各级教育部门要会同有关部门持续加大对校外培训机构、小学、幼儿园违反教育规律行为的治理力度，开展专项治理。坚决纠正校外培训机构以学前班、幼小衔接班等名义提前教授小学内容的不良行为，对接收学前儿童违规开展培训的校外培训机构进行严肃查处并列入黑名单，将黑名单信息纳入全国信用信息共享平台，按有关规定实施联合惩戒。小学严格执行免试就近入学，严禁以各类考试、竞赛、培训成绩或证书等作为招生依据，继续巩固幼儿园“小学化”、小学“非零起点”教学专项治理成果。幼儿园满足需要的地方，小学不得设置学前班。幼儿园出现大班幼儿流失的情况，应及时了解原因和去向，并向当地教育部门报告。对办学行为严重违规的幼儿园和小学，追究校长、园长和有关教师的责任。</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bCs/>
          <w:sz w:val="32"/>
          <w:szCs w:val="32"/>
        </w:rPr>
      </w:pPr>
      <w:r>
        <w:rPr>
          <w:rFonts w:hint="eastAsia" w:ascii="仿宋_GB2312" w:hAnsi="仿宋_GB2312" w:eastAsia="仿宋_GB2312" w:cs="仿宋_GB2312"/>
          <w:color w:val="auto"/>
          <w:kern w:val="2"/>
          <w:sz w:val="32"/>
          <w:szCs w:val="32"/>
          <w:lang w:val="en-US" w:eastAsia="zh-CN" w:bidi="ar-SA"/>
        </w:rPr>
        <w:t>　　</w:t>
      </w:r>
      <w:r>
        <w:rPr>
          <w:rFonts w:hint="eastAsia" w:ascii="黑体" w:hAnsi="黑体" w:eastAsia="黑体" w:cs="黑体"/>
          <w:bCs/>
          <w:sz w:val="32"/>
          <w:szCs w:val="32"/>
        </w:rPr>
        <w:t>四、进度安排</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楷体" w:hAnsi="楷体" w:eastAsia="楷体" w:cs="楷体"/>
          <w:b/>
          <w:kern w:val="2"/>
          <w:sz w:val="32"/>
          <w:szCs w:val="32"/>
          <w:lang w:val="en-US" w:eastAsia="zh-CN" w:bidi="ar-SA"/>
        </w:rPr>
        <w:t>（一）动员部署阶段（2021年8月底前）。</w:t>
      </w:r>
      <w:r>
        <w:rPr>
          <w:rFonts w:hint="eastAsia" w:ascii="仿宋_GB2312" w:hAnsi="仿宋_GB2312" w:eastAsia="仿宋_GB2312" w:cs="仿宋_GB2312"/>
          <w:sz w:val="32"/>
          <w:szCs w:val="32"/>
          <w:lang w:eastAsia="zh-CN"/>
        </w:rPr>
        <w:t>召开全省幼儿园与小学科学衔接研讨班，全面部署动员。举办家长论坛，树立正确教育导向。</w:t>
      </w:r>
      <w:r>
        <w:rPr>
          <w:rFonts w:hint="eastAsia" w:ascii="仿宋_GB2312" w:hAnsi="仿宋_GB2312" w:eastAsia="仿宋_GB2312" w:cs="仿宋_GB2312"/>
          <w:sz w:val="32"/>
          <w:szCs w:val="32"/>
        </w:rPr>
        <w:t>制订</w:t>
      </w:r>
      <w:r>
        <w:rPr>
          <w:rFonts w:hint="eastAsia" w:ascii="仿宋_GB2312" w:hAnsi="仿宋_GB2312" w:eastAsia="仿宋_GB2312" w:cs="仿宋_GB2312"/>
          <w:sz w:val="32"/>
          <w:szCs w:val="32"/>
          <w:lang w:eastAsia="zh-CN"/>
        </w:rPr>
        <w:t>《福建省推进幼儿园与小学</w:t>
      </w:r>
      <w:r>
        <w:rPr>
          <w:rFonts w:hint="eastAsia" w:ascii="仿宋_GB2312" w:hAnsi="仿宋_GB2312" w:eastAsia="仿宋_GB2312" w:cs="仿宋_GB2312"/>
          <w:sz w:val="32"/>
          <w:szCs w:val="32"/>
        </w:rPr>
        <w:t>科学衔接</w:t>
      </w:r>
      <w:r>
        <w:rPr>
          <w:rFonts w:hint="eastAsia" w:ascii="仿宋_GB2312" w:hAnsi="仿宋_GB2312" w:eastAsia="仿宋_GB2312" w:cs="仿宋_GB2312"/>
          <w:sz w:val="32"/>
          <w:szCs w:val="32"/>
          <w:lang w:eastAsia="zh-CN"/>
        </w:rPr>
        <w:t>攻坚行动</w:t>
      </w:r>
      <w:r>
        <w:rPr>
          <w:rFonts w:hint="eastAsia" w:ascii="仿宋_GB2312" w:hAnsi="仿宋_GB2312" w:eastAsia="仿宋_GB2312" w:cs="仿宋_GB2312"/>
          <w:sz w:val="32"/>
          <w:szCs w:val="32"/>
        </w:rPr>
        <w:t>实施方案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，遴选</w:t>
      </w:r>
      <w:r>
        <w:rPr>
          <w:rFonts w:hint="eastAsia" w:ascii="仿宋_GB2312" w:hAnsi="仿宋_GB2312" w:eastAsia="仿宋_GB2312" w:cs="仿宋_GB2312"/>
          <w:color w:val="auto"/>
          <w:sz w:val="32"/>
          <w:szCs w:val="32"/>
          <w:lang w:eastAsia="zh-CN"/>
        </w:rPr>
        <w:t>开展</w:t>
      </w:r>
      <w:r>
        <w:rPr>
          <w:rFonts w:hint="eastAsia" w:ascii="仿宋_GB2312" w:hAnsi="仿宋_GB2312" w:eastAsia="仿宋_GB2312" w:cs="仿宋_GB2312"/>
          <w:color w:val="auto"/>
          <w:sz w:val="32"/>
          <w:szCs w:val="32"/>
        </w:rPr>
        <w:t>幼小衔接实验区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试点小学和幼儿园，分层推进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省级成立</w:t>
      </w:r>
      <w:r>
        <w:rPr>
          <w:rFonts w:hint="eastAsia" w:ascii="仿宋_GB2312" w:hAnsi="仿宋_GB2312" w:eastAsia="仿宋_GB2312" w:cs="仿宋_GB2312"/>
          <w:color w:val="auto"/>
          <w:sz w:val="32"/>
          <w:szCs w:val="32"/>
          <w:lang w:eastAsia="zh-CN"/>
        </w:rPr>
        <w:t>专家指导</w:t>
      </w:r>
      <w:r>
        <w:rPr>
          <w:rFonts w:hint="eastAsia" w:ascii="仿宋_GB2312" w:hAnsi="仿宋_GB2312" w:eastAsia="仿宋_GB2312" w:cs="仿宋_GB2312"/>
          <w:color w:val="auto"/>
          <w:sz w:val="32"/>
          <w:szCs w:val="32"/>
        </w:rPr>
        <w:t>组，</w:t>
      </w:r>
      <w:r>
        <w:rPr>
          <w:rFonts w:hint="eastAsia" w:ascii="Calibri" w:hAnsi="Calibri" w:eastAsia="仿宋_GB2312" w:cs="仿宋_GB2312"/>
          <w:kern w:val="0"/>
          <w:sz w:val="32"/>
          <w:szCs w:val="32"/>
          <w:lang w:val="en-US" w:eastAsia="zh-CN" w:bidi="ar-SA"/>
        </w:rPr>
        <w:t>研发幼小科学衔接系列指导手册，</w:t>
      </w:r>
      <w:r>
        <w:rPr>
          <w:rFonts w:hint="eastAsia" w:ascii="仿宋_GB2312" w:hAnsi="仿宋_GB2312" w:eastAsia="仿宋_GB2312" w:cs="仿宋_GB2312"/>
          <w:color w:val="auto"/>
          <w:sz w:val="32"/>
          <w:szCs w:val="32"/>
          <w:lang w:eastAsia="zh-CN"/>
        </w:rPr>
        <w:t>强化对各地改革实验的指导。</w:t>
      </w:r>
      <w:r>
        <w:rPr>
          <w:rFonts w:hint="eastAsia" w:ascii="仿宋_GB2312" w:hAnsi="仿宋_GB2312" w:eastAsia="仿宋_GB2312" w:cs="仿宋_GB2312"/>
          <w:color w:val="auto"/>
          <w:sz w:val="32"/>
          <w:szCs w:val="32"/>
        </w:rPr>
        <w:t>各级教研部门建立联合教研制度，先行组织开展教师培训。试点园</w:t>
      </w:r>
      <w:r>
        <w:rPr>
          <w:rFonts w:hint="eastAsia" w:ascii="仿宋_GB2312" w:hAnsi="仿宋_GB2312" w:eastAsia="仿宋_GB2312" w:cs="仿宋_GB2312"/>
          <w:color w:val="auto"/>
          <w:sz w:val="32"/>
          <w:szCs w:val="32"/>
          <w:lang w:eastAsia="zh-CN"/>
        </w:rPr>
        <w:t>和试点</w:t>
      </w:r>
      <w:r>
        <w:rPr>
          <w:rFonts w:hint="eastAsia" w:ascii="仿宋_GB2312" w:hAnsi="仿宋_GB2312" w:eastAsia="仿宋_GB2312" w:cs="仿宋_GB2312"/>
          <w:color w:val="auto"/>
          <w:sz w:val="32"/>
          <w:szCs w:val="32"/>
        </w:rPr>
        <w:t>校建立合作机制，</w:t>
      </w:r>
      <w:r>
        <w:rPr>
          <w:rFonts w:hint="eastAsia" w:ascii="仿宋_GB2312" w:hAnsi="仿宋_GB2312" w:eastAsia="仿宋_GB2312" w:cs="仿宋_GB2312"/>
          <w:color w:val="auto"/>
          <w:sz w:val="32"/>
          <w:szCs w:val="32"/>
          <w:lang w:eastAsia="zh-CN"/>
        </w:rPr>
        <w:t>抓住暑期黄金时间，共同研究工作方案，抓好组织实施。小学要添置必要的图画书、玩具和操作材料，一年级要做好课程教学、环境创设和管理方式等方面的调整准备。幼儿园要尊重幼儿身心发展规律和特点，做好新学年保教工作安排，将入学准备教育有机渗透于幼儿园三年保教工作全过程。</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楷体" w:hAnsi="楷体" w:eastAsia="楷体" w:cs="楷体"/>
          <w:b/>
          <w:kern w:val="2"/>
          <w:sz w:val="32"/>
          <w:szCs w:val="32"/>
          <w:lang w:val="en-US" w:eastAsia="zh-CN" w:bidi="ar-SA"/>
        </w:rPr>
        <w:t>（二）试点探索阶段（2021年9月-2022年6月）。</w:t>
      </w:r>
      <w:r>
        <w:rPr>
          <w:rFonts w:hint="eastAsia" w:ascii="仿宋_GB2312" w:hAnsi="仿宋_GB2312" w:eastAsia="仿宋_GB2312" w:cs="仿宋_GB2312"/>
          <w:color w:val="auto"/>
          <w:sz w:val="32"/>
          <w:szCs w:val="32"/>
        </w:rPr>
        <w:t>2021年秋季学期开始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eastAsia="zh-CN"/>
        </w:rPr>
        <w:t>实验区</w:t>
      </w:r>
      <w:r>
        <w:rPr>
          <w:rFonts w:hint="eastAsia" w:ascii="仿宋_GB2312" w:hAnsi="仿宋_GB2312" w:eastAsia="仿宋_GB2312" w:cs="仿宋_GB2312"/>
          <w:color w:val="auto"/>
          <w:sz w:val="32"/>
          <w:szCs w:val="32"/>
        </w:rPr>
        <w:t>根据具体试点方案</w:t>
      </w:r>
      <w:r>
        <w:rPr>
          <w:rFonts w:hint="eastAsia" w:ascii="仿宋_GB2312" w:hAnsi="仿宋_GB2312" w:eastAsia="仿宋_GB2312" w:cs="仿宋_GB2312"/>
          <w:color w:val="auto"/>
          <w:sz w:val="32"/>
          <w:szCs w:val="32"/>
          <w:lang w:eastAsia="zh-CN"/>
        </w:rPr>
        <w:t>开展工作，</w:t>
      </w:r>
      <w:r>
        <w:rPr>
          <w:rFonts w:hint="eastAsia" w:ascii="仿宋_GB2312" w:hAnsi="仿宋_GB2312" w:eastAsia="仿宋_GB2312" w:cs="仿宋_GB2312"/>
          <w:color w:val="auto"/>
          <w:sz w:val="32"/>
          <w:szCs w:val="32"/>
        </w:rPr>
        <w:t>试点园探索实施入学准备活动，试</w:t>
      </w:r>
      <w:r>
        <w:rPr>
          <w:rFonts w:hint="eastAsia" w:ascii="仿宋_GB2312" w:hAnsi="仿宋_GB2312" w:eastAsia="仿宋_GB2312" w:cs="仿宋_GB2312"/>
          <w:color w:val="auto"/>
          <w:sz w:val="32"/>
          <w:szCs w:val="32"/>
          <w:lang w:eastAsia="zh-CN"/>
        </w:rPr>
        <w:t>点校同步研究入学适应活动。各级教育行政部门定期总结试点工作方法经验，加强交流，改进完善试点工作。</w:t>
      </w:r>
      <w:r>
        <w:rPr>
          <w:rFonts w:hint="eastAsia" w:ascii="仿宋_GB2312" w:hAnsi="仿宋_GB2312" w:eastAsia="仿宋_GB2312" w:cs="仿宋_GB2312"/>
          <w:kern w:val="2"/>
          <w:sz w:val="32"/>
          <w:szCs w:val="32"/>
          <w:lang w:val="en-US" w:eastAsia="zh-CN" w:bidi="ar-SA"/>
        </w:rPr>
        <w:t>省级适时组织开展优秀改革案例遴选和幼小衔接教学研讨活动。</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kern w:val="2"/>
          <w:sz w:val="32"/>
          <w:szCs w:val="32"/>
          <w:lang w:val="en-US" w:eastAsia="zh-CN" w:bidi="ar-SA"/>
        </w:rPr>
        <w:t>（三）总结推广阶段（2022年7月-2023年6月）。</w:t>
      </w:r>
      <w:r>
        <w:rPr>
          <w:rFonts w:hint="eastAsia" w:ascii="仿宋_GB2312" w:hAnsi="仿宋_GB2312" w:eastAsia="仿宋_GB2312" w:cs="仿宋_GB2312"/>
          <w:color w:val="auto"/>
          <w:sz w:val="32"/>
          <w:szCs w:val="32"/>
          <w:lang w:val="en-US" w:eastAsia="zh-CN"/>
        </w:rPr>
        <w:t>及时宣传推广实验区、试点校（园）的典型经验，发挥辐射带动作用。2022年秋季学期开始，在我省全面推行入学准备和入学适应教育，建立幼小双向衔接的互助发展模式，加强在课程、教学、管理和教研方面的研究合作。</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kern w:val="2"/>
          <w:sz w:val="32"/>
          <w:szCs w:val="32"/>
          <w:lang w:val="en-US" w:eastAsia="zh-CN" w:bidi="ar-SA"/>
        </w:rPr>
        <w:t>（四）巩固提升阶段（2023年7月-2023年底前）。</w:t>
      </w:r>
      <w:r>
        <w:rPr>
          <w:rFonts w:hint="eastAsia" w:ascii="仿宋_GB2312" w:hAnsi="仿宋_GB2312" w:eastAsia="仿宋_GB2312" w:cs="仿宋_GB2312"/>
          <w:sz w:val="32"/>
          <w:szCs w:val="32"/>
        </w:rPr>
        <w:t>在系统总结实践经验成果基础上，</w:t>
      </w:r>
      <w:r>
        <w:rPr>
          <w:rFonts w:hint="eastAsia" w:ascii="仿宋_GB2312" w:hAnsi="仿宋_GB2312" w:eastAsia="仿宋_GB2312" w:cs="仿宋_GB2312"/>
          <w:sz w:val="32"/>
          <w:szCs w:val="32"/>
          <w:lang w:eastAsia="zh-CN"/>
        </w:rPr>
        <w:t>针对幼小衔接工作推进的难点痛点，进一步研究</w:t>
      </w:r>
      <w:r>
        <w:rPr>
          <w:rFonts w:hint="eastAsia" w:ascii="仿宋_GB2312" w:hAnsi="仿宋_GB2312" w:eastAsia="仿宋_GB2312" w:cs="仿宋_GB2312"/>
          <w:sz w:val="32"/>
          <w:szCs w:val="32"/>
        </w:rPr>
        <w:t>完善幼小衔接政策举措，</w:t>
      </w:r>
      <w:r>
        <w:rPr>
          <w:rFonts w:hint="eastAsia" w:ascii="仿宋_GB2312" w:hAnsi="仿宋_GB2312" w:eastAsia="仿宋_GB2312" w:cs="仿宋_GB2312"/>
          <w:sz w:val="32"/>
          <w:szCs w:val="32"/>
          <w:lang w:eastAsia="zh-CN"/>
        </w:rPr>
        <w:t>完善</w:t>
      </w:r>
      <w:r>
        <w:rPr>
          <w:rFonts w:hint="eastAsia" w:ascii="仿宋_GB2312" w:hAnsi="仿宋_GB2312" w:eastAsia="仿宋_GB2312" w:cs="仿宋_GB2312"/>
          <w:sz w:val="32"/>
          <w:szCs w:val="32"/>
        </w:rPr>
        <w:t>工作机制，</w:t>
      </w:r>
      <w:r>
        <w:rPr>
          <w:rFonts w:hint="eastAsia" w:ascii="仿宋_GB2312" w:hAnsi="仿宋_GB2312" w:eastAsia="仿宋_GB2312" w:cs="仿宋_GB2312"/>
          <w:sz w:val="32"/>
          <w:szCs w:val="32"/>
          <w:lang w:eastAsia="zh-CN"/>
        </w:rPr>
        <w:t>推动</w:t>
      </w:r>
      <w:r>
        <w:rPr>
          <w:rFonts w:hint="eastAsia" w:ascii="仿宋_GB2312" w:hAnsi="仿宋_GB2312" w:eastAsia="仿宋_GB2312" w:cs="仿宋_GB2312"/>
          <w:sz w:val="32"/>
          <w:szCs w:val="32"/>
        </w:rPr>
        <w:t>幼儿园和小学深度合作</w:t>
      </w:r>
      <w:r>
        <w:rPr>
          <w:rFonts w:hint="eastAsia" w:ascii="仿宋_GB2312" w:hAnsi="仿宋_GB2312" w:eastAsia="仿宋_GB2312" w:cs="仿宋_GB2312"/>
          <w:sz w:val="32"/>
          <w:szCs w:val="32"/>
          <w:lang w:eastAsia="zh-CN"/>
        </w:rPr>
        <w:t>，建立健全长效机制</w:t>
      </w:r>
      <w:r>
        <w:rPr>
          <w:rFonts w:hint="eastAsia" w:ascii="仿宋_GB2312" w:hAnsi="仿宋_GB2312" w:eastAsia="仿宋_GB2312" w:cs="仿宋_GB2312"/>
          <w:sz w:val="32"/>
          <w:szCs w:val="32"/>
        </w:rPr>
        <w:t>。</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41"/>
        <w:textAlignment w:val="auto"/>
        <w:outlineLvl w:val="1"/>
        <w:rPr>
          <w:rFonts w:hint="eastAsia" w:ascii="黑体" w:hAnsi="黑体" w:eastAsia="黑体" w:cs="黑体"/>
          <w:sz w:val="32"/>
          <w:szCs w:val="32"/>
        </w:rPr>
      </w:pPr>
      <w:r>
        <w:rPr>
          <w:rFonts w:hint="eastAsia" w:ascii="黑体" w:hAnsi="黑体" w:eastAsia="黑体" w:cs="黑体"/>
          <w:sz w:val="32"/>
          <w:szCs w:val="32"/>
        </w:rPr>
        <w:t>三、组织保障</w:t>
      </w:r>
    </w:p>
    <w:p>
      <w:pPr>
        <w:keepNext w:val="0"/>
        <w:keepLines w:val="0"/>
        <w:pageBreakBefore w:val="0"/>
        <w:widowControl w:val="0"/>
        <w:kinsoku/>
        <w:wordWrap/>
        <w:topLinePunct w:val="0"/>
        <w:autoSpaceDE/>
        <w:autoSpaceDN/>
        <w:bidi w:val="0"/>
        <w:snapToGrid/>
        <w:spacing w:before="0" w:beforeAutospacing="0" w:after="0" w:afterAutospacing="0" w:line="600" w:lineRule="exact"/>
        <w:ind w:firstLine="643" w:firstLineChars="200"/>
        <w:jc w:val="both"/>
        <w:textAlignment w:val="baseline"/>
        <w:rPr>
          <w:rFonts w:hint="eastAsia" w:ascii="仿宋_GB2312" w:hAnsi="仿宋_GB2312" w:eastAsia="仿宋_GB2312" w:cs="仿宋_GB2312"/>
          <w:sz w:val="32"/>
          <w:szCs w:val="32"/>
        </w:rPr>
      </w:pPr>
      <w:r>
        <w:rPr>
          <w:rFonts w:hint="eastAsia" w:ascii="楷体" w:hAnsi="楷体" w:eastAsia="楷体" w:cs="楷体"/>
          <w:b/>
          <w:kern w:val="2"/>
          <w:sz w:val="32"/>
          <w:szCs w:val="32"/>
          <w:lang w:val="en-US" w:eastAsia="zh-CN" w:bidi="ar-SA"/>
        </w:rPr>
        <w:t>（一）加强组织领导。</w:t>
      </w:r>
      <w:r>
        <w:rPr>
          <w:rFonts w:hint="eastAsia" w:ascii="仿宋_GB2312" w:hAnsi="仿宋_GB2312" w:eastAsia="仿宋_GB2312" w:cs="仿宋_GB2312"/>
          <w:kern w:val="0"/>
          <w:sz w:val="32"/>
          <w:szCs w:val="32"/>
          <w:lang w:val="en-US" w:eastAsia="zh-CN" w:bidi="ar-SA"/>
        </w:rPr>
        <w:t>各地要加强党对教育事业的领导，全面贯彻党的教育方针，把幼小衔接作为构建高质量教育体系、办好人民满意教育的重要抓手。各设区市教育行政部门要统筹</w:t>
      </w:r>
      <w:r>
        <w:rPr>
          <w:rFonts w:hint="eastAsia" w:ascii="仿宋_GB2312" w:hAnsi="仿宋_GB2312" w:eastAsia="仿宋_GB2312" w:cs="仿宋_GB2312"/>
          <w:color w:val="auto"/>
          <w:kern w:val="2"/>
          <w:sz w:val="32"/>
          <w:szCs w:val="32"/>
          <w:lang w:val="en-US" w:eastAsia="zh-CN" w:bidi="ar-SA"/>
        </w:rPr>
        <w:t>制定</w:t>
      </w:r>
      <w:r>
        <w:rPr>
          <w:rFonts w:hint="eastAsia" w:ascii="仿宋_GB2312" w:hAnsi="仿宋_GB2312" w:eastAsia="仿宋_GB2312" w:cs="仿宋_GB2312"/>
          <w:sz w:val="32"/>
          <w:szCs w:val="32"/>
        </w:rPr>
        <w:t>本地幼小科学衔接</w:t>
      </w:r>
      <w:r>
        <w:rPr>
          <w:rFonts w:hint="eastAsia" w:ascii="仿宋_GB2312" w:hAnsi="仿宋_GB2312" w:eastAsia="仿宋_GB2312" w:cs="仿宋_GB2312"/>
          <w:color w:val="auto"/>
          <w:kern w:val="2"/>
          <w:sz w:val="32"/>
          <w:szCs w:val="32"/>
          <w:lang w:val="en-US" w:eastAsia="zh-CN" w:bidi="ar-SA"/>
        </w:rPr>
        <w:t>工作</w:t>
      </w:r>
      <w:r>
        <w:rPr>
          <w:rFonts w:hint="eastAsia" w:ascii="仿宋_GB2312" w:hAnsi="仿宋_GB2312" w:eastAsia="仿宋_GB2312" w:cs="仿宋_GB2312"/>
          <w:sz w:val="32"/>
          <w:szCs w:val="32"/>
          <w:lang w:eastAsia="zh-CN"/>
        </w:rPr>
        <w:t>推进</w:t>
      </w:r>
      <w:r>
        <w:rPr>
          <w:rFonts w:hint="eastAsia" w:ascii="仿宋_GB2312" w:hAnsi="仿宋_GB2312" w:eastAsia="仿宋_GB2312" w:cs="仿宋_GB2312"/>
          <w:color w:val="auto"/>
          <w:kern w:val="2"/>
          <w:sz w:val="32"/>
          <w:szCs w:val="32"/>
          <w:lang w:val="en-US" w:eastAsia="zh-CN" w:bidi="ar-SA"/>
        </w:rPr>
        <w:t>方案</w:t>
      </w:r>
      <w:r>
        <w:rPr>
          <w:rFonts w:hint="eastAsia" w:ascii="仿宋_GB2312" w:hAnsi="仿宋_GB2312" w:eastAsia="仿宋_GB2312" w:cs="仿宋_GB2312"/>
          <w:sz w:val="32"/>
          <w:szCs w:val="32"/>
        </w:rPr>
        <w:t>，把幼小衔接工作纳入基础教育课程改革的重要内容</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kern w:val="0"/>
          <w:sz w:val="32"/>
          <w:szCs w:val="32"/>
          <w:lang w:val="en-US" w:eastAsia="zh-CN" w:bidi="ar-SA"/>
        </w:rPr>
        <w:t>加强统筹协调，建立行政推动、教科研支持、教育机构和家长共同参与的多方协同工作机制，强化经费和师资保障，完善科学评价机制，</w:t>
      </w:r>
      <w:r>
        <w:rPr>
          <w:rFonts w:hint="eastAsia" w:ascii="仿宋_GB2312" w:hAnsi="仿宋_GB2312" w:eastAsia="仿宋_GB2312" w:cs="仿宋_GB2312"/>
          <w:sz w:val="32"/>
          <w:szCs w:val="32"/>
          <w:lang w:eastAsia="zh-CN"/>
        </w:rPr>
        <w:t>明确工作时间节点和推进任务，及时解决工作中遇到的困难问题，</w:t>
      </w:r>
      <w:r>
        <w:rPr>
          <w:rFonts w:hint="eastAsia" w:ascii="仿宋_GB2312" w:hAnsi="仿宋_GB2312" w:eastAsia="仿宋_GB2312" w:cs="仿宋_GB2312"/>
          <w:sz w:val="32"/>
          <w:szCs w:val="32"/>
        </w:rPr>
        <w:t>确保</w:t>
      </w:r>
      <w:r>
        <w:rPr>
          <w:rFonts w:hint="eastAsia" w:ascii="仿宋_GB2312" w:hAnsi="仿宋_GB2312" w:eastAsia="仿宋_GB2312" w:cs="仿宋_GB2312"/>
          <w:sz w:val="32"/>
          <w:szCs w:val="32"/>
          <w:lang w:eastAsia="zh-CN"/>
        </w:rPr>
        <w:t>幼小衔接</w:t>
      </w:r>
      <w:r>
        <w:rPr>
          <w:rFonts w:hint="eastAsia" w:ascii="仿宋_GB2312" w:hAnsi="仿宋_GB2312" w:eastAsia="仿宋_GB2312" w:cs="仿宋_GB2312"/>
          <w:sz w:val="32"/>
          <w:szCs w:val="32"/>
        </w:rPr>
        <w:t>工作取得实效。</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3"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楷体" w:hAnsi="楷体" w:eastAsia="楷体" w:cs="楷体"/>
          <w:b/>
          <w:kern w:val="2"/>
          <w:sz w:val="32"/>
          <w:szCs w:val="32"/>
          <w:lang w:val="en-US" w:eastAsia="zh-CN" w:bidi="ar-SA"/>
        </w:rPr>
        <w:t>（二）强化检查督导。</w:t>
      </w:r>
      <w:r>
        <w:rPr>
          <w:rFonts w:hint="eastAsia" w:ascii="仿宋_GB2312" w:hAnsi="仿宋_GB2312" w:eastAsia="仿宋_GB2312" w:cs="仿宋_GB2312"/>
          <w:kern w:val="0"/>
          <w:sz w:val="32"/>
          <w:szCs w:val="32"/>
          <w:lang w:val="en-US" w:eastAsia="zh-CN" w:bidi="ar-SA"/>
        </w:rPr>
        <w:t>各地教育行政部门要把科学入学准备和入学适应纳入幼儿园和义务教育质量评估规范办学行为督导的重要内容，认真落实挂牌责任督学制度，要通过开展专项督查，结合开学初检查和其它督查视导等方式，加强对学校、教师日常教学工作检查指导，切实纠正幼儿园“小学化”、小学超纲超前教学问题。对存在违规行为的幼儿园、小学及社会培训机构，要责令限期整改，性质严重或整改不力的，按规定严肃查处，并严肃追究其主要负责人的责任。</w:t>
      </w:r>
    </w:p>
    <w:p>
      <w:pPr>
        <w:pStyle w:val="17"/>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3"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楷体" w:hAnsi="楷体" w:eastAsia="楷体" w:cs="楷体"/>
          <w:b/>
          <w:kern w:val="2"/>
          <w:sz w:val="32"/>
          <w:szCs w:val="32"/>
          <w:lang w:val="en-US" w:eastAsia="zh-CN" w:bidi="ar-SA"/>
        </w:rPr>
        <w:t>（三）</w:t>
      </w:r>
      <w:r>
        <w:rPr>
          <w:rFonts w:hint="eastAsia" w:ascii="楷体" w:hAnsi="楷体" w:eastAsia="楷体" w:cs="楷体"/>
          <w:b/>
          <w:sz w:val="32"/>
          <w:szCs w:val="32"/>
        </w:rPr>
        <w:t>加强宣传引导。</w:t>
      </w:r>
      <w:r>
        <w:rPr>
          <w:rFonts w:hint="eastAsia" w:ascii="仿宋_GB2312" w:hAnsi="仿宋_GB2312" w:eastAsia="仿宋_GB2312" w:cs="仿宋_GB2312"/>
          <w:kern w:val="0"/>
          <w:sz w:val="32"/>
          <w:szCs w:val="32"/>
          <w:lang w:val="en-US" w:eastAsia="zh-CN" w:bidi="ar-SA"/>
        </w:rPr>
        <w:t>各地要综合利用传统媒体和新兴媒体搭建宣传平台，加大幼小衔接宣传力度，总结推广先进经验和典型作法，树立科学导向，引导家长自觉抵制违背儿童身心发展的行为，推动形成全社会共识，营造家长支持配合开展幼小科学衔接工作的良好氛围。</w:t>
      </w:r>
    </w:p>
    <w:p>
      <w:pPr>
        <w:pStyle w:val="17"/>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baseline"/>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联系人及电话：游恬，0591－87091353；电子邮箱：</w:t>
      </w:r>
      <w:r>
        <w:rPr>
          <w:rFonts w:hint="eastAsia" w:ascii="仿宋_GB2312" w:hAnsi="仿宋_GB2312" w:eastAsia="仿宋_GB2312" w:cs="仿宋_GB2312"/>
          <w:kern w:val="0"/>
          <w:sz w:val="32"/>
          <w:szCs w:val="32"/>
          <w:lang w:val="en-US" w:eastAsia="zh-CN" w:bidi="ar-SA"/>
        </w:rPr>
        <w:fldChar w:fldCharType="begin"/>
      </w:r>
      <w:r>
        <w:rPr>
          <w:rFonts w:hint="eastAsia" w:ascii="仿宋_GB2312" w:hAnsi="仿宋_GB2312" w:eastAsia="仿宋_GB2312" w:cs="仿宋_GB2312"/>
          <w:kern w:val="0"/>
          <w:sz w:val="32"/>
          <w:szCs w:val="32"/>
          <w:lang w:val="en-US" w:eastAsia="zh-CN" w:bidi="ar-SA"/>
        </w:rPr>
        <w:instrText xml:space="preserve"> HYPERLINK "mailto:jytjjc@fjsjyt.cn。" </w:instrText>
      </w:r>
      <w:r>
        <w:rPr>
          <w:rFonts w:hint="eastAsia" w:ascii="仿宋_GB2312" w:hAnsi="仿宋_GB2312" w:eastAsia="仿宋_GB2312" w:cs="仿宋_GB2312"/>
          <w:kern w:val="0"/>
          <w:sz w:val="32"/>
          <w:szCs w:val="32"/>
          <w:lang w:val="en-US" w:eastAsia="zh-CN" w:bidi="ar-SA"/>
        </w:rPr>
        <w:fldChar w:fldCharType="separate"/>
      </w:r>
      <w:r>
        <w:rPr>
          <w:rFonts w:hint="eastAsia" w:ascii="仿宋_GB2312" w:hAnsi="仿宋_GB2312" w:eastAsia="仿宋_GB2312" w:cs="仿宋_GB2312"/>
          <w:kern w:val="0"/>
          <w:sz w:val="32"/>
          <w:szCs w:val="32"/>
          <w:lang w:val="en-US" w:eastAsia="zh-CN" w:bidi="ar-SA"/>
        </w:rPr>
        <w:t>jytjjc@fjsjyt.cn。</w:t>
      </w:r>
      <w:r>
        <w:rPr>
          <w:rFonts w:hint="eastAsia" w:ascii="仿宋_GB2312" w:hAnsi="仿宋_GB2312" w:eastAsia="仿宋_GB2312" w:cs="仿宋_GB2312"/>
          <w:kern w:val="0"/>
          <w:sz w:val="32"/>
          <w:szCs w:val="32"/>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附件</w:t>
      </w:r>
      <w:r>
        <w:rPr>
          <w:rFonts w:hint="eastAsia" w:ascii="仿宋_GB2312" w:hAnsi="仿宋_GB2312" w:eastAsia="仿宋_GB2312" w:cs="仿宋_GB2312"/>
          <w:kern w:val="0"/>
          <w:sz w:val="32"/>
          <w:szCs w:val="32"/>
          <w:lang w:val="en-US" w:eastAsia="zh-CN" w:bidi="ar-SA"/>
        </w:rPr>
        <w:t>：1.福建省幼小衔接实验区申报表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2.福建省幼小衔接试点校（园）申报表(实验区)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both"/>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3.福建省幼小衔接试点校（园）申报表(省属学校)</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4.福建</w:t>
      </w:r>
      <w:r>
        <w:rPr>
          <w:rFonts w:hint="default" w:ascii="仿宋_GB2312" w:hAnsi="仿宋_GB2312" w:eastAsia="仿宋_GB2312" w:cs="仿宋_GB2312"/>
          <w:color w:val="auto"/>
          <w:kern w:val="2"/>
          <w:sz w:val="32"/>
          <w:szCs w:val="32"/>
          <w:lang w:val="en-US" w:eastAsia="zh-CN" w:bidi="ar-SA"/>
        </w:rPr>
        <w:t>省幼小衔接</w:t>
      </w:r>
      <w:r>
        <w:rPr>
          <w:rFonts w:hint="eastAsia" w:ascii="仿宋_GB2312" w:hAnsi="仿宋_GB2312" w:eastAsia="仿宋_GB2312" w:cs="仿宋_GB2312"/>
          <w:color w:val="auto"/>
          <w:kern w:val="2"/>
          <w:sz w:val="32"/>
          <w:szCs w:val="32"/>
          <w:lang w:val="en-US" w:eastAsia="zh-CN" w:bidi="ar-SA"/>
        </w:rPr>
        <w:t>试点校（园）情况汇总</w:t>
      </w:r>
      <w:r>
        <w:rPr>
          <w:rFonts w:hint="default" w:ascii="仿宋_GB2312" w:hAnsi="仿宋_GB2312" w:eastAsia="仿宋_GB2312" w:cs="仿宋_GB2312"/>
          <w:color w:val="auto"/>
          <w:kern w:val="2"/>
          <w:sz w:val="32"/>
          <w:szCs w:val="32"/>
          <w:lang w:val="en-US" w:eastAsia="zh-CN" w:bidi="ar-SA"/>
        </w:rPr>
        <w:t>表</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kern w:val="0"/>
          <w:sz w:val="32"/>
          <w:szCs w:val="32"/>
          <w:lang w:val="en-US" w:eastAsia="zh-CN" w:bidi="ar-SA"/>
        </w:rPr>
        <w:t>5.福建省幼小衔接专家指导组名单</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eastAsia" w:ascii="仿宋_GB2312" w:hAnsi="仿宋_GB2312" w:eastAsia="仿宋_GB2312" w:cs="仿宋_GB2312"/>
          <w:color w:val="auto"/>
          <w:kern w:val="2"/>
          <w:sz w:val="32"/>
          <w:szCs w:val="32"/>
          <w:lang w:val="en-US" w:eastAsia="zh-CN" w:bidi="ar-SA"/>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640"/>
        <w:jc w:val="both"/>
        <w:textAlignment w:val="auto"/>
        <w:rPr>
          <w:rFonts w:hint="default" w:ascii="仿宋_GB2312" w:eastAsia="仿宋_GB2312" w:hAnsiTheme="minorHAnsi" w:cstheme="minorBidi"/>
          <w:color w:val="auto"/>
          <w:kern w:val="2"/>
          <w:sz w:val="32"/>
          <w:szCs w:val="32"/>
          <w:lang w:val="en-US" w:eastAsia="zh-CN" w:bidi="ar-SA"/>
        </w:rPr>
      </w:pPr>
    </w:p>
    <w:p>
      <w:pPr>
        <w:keepNext w:val="0"/>
        <w:keepLines w:val="0"/>
        <w:pageBreakBefore w:val="0"/>
        <w:widowControl w:val="0"/>
        <w:kinsoku/>
        <w:wordWrap/>
        <w:topLinePunct w:val="0"/>
        <w:autoSpaceDE/>
        <w:autoSpaceDN/>
        <w:bidi w:val="0"/>
        <w:spacing w:line="600" w:lineRule="exact"/>
        <w:rPr>
          <w:rFonts w:hint="eastAsia" w:ascii="黑体" w:hAnsi="黑体" w:eastAsia="黑体" w:cs="黑体"/>
          <w:sz w:val="32"/>
          <w:szCs w:val="32"/>
        </w:rPr>
      </w:pPr>
    </w:p>
    <w:p>
      <w:pPr>
        <w:keepNext w:val="0"/>
        <w:keepLines w:val="0"/>
        <w:pageBreakBefore w:val="0"/>
        <w:widowControl w:val="0"/>
        <w:kinsoku/>
        <w:wordWrap/>
        <w:topLinePunct w:val="0"/>
        <w:autoSpaceDE/>
        <w:autoSpaceDN/>
        <w:bidi w:val="0"/>
        <w:spacing w:line="600" w:lineRule="exact"/>
        <w:rPr>
          <w:rFonts w:hint="eastAsia" w:ascii="黑体" w:hAnsi="黑体" w:eastAsia="黑体" w:cs="黑体"/>
          <w:sz w:val="32"/>
          <w:szCs w:val="32"/>
        </w:rPr>
      </w:pPr>
    </w:p>
    <w:p>
      <w:pPr>
        <w:keepNext w:val="0"/>
        <w:keepLines w:val="0"/>
        <w:pageBreakBefore w:val="0"/>
        <w:widowControl w:val="0"/>
        <w:kinsoku/>
        <w:wordWrap/>
        <w:topLinePunct w:val="0"/>
        <w:autoSpaceDE/>
        <w:autoSpaceDN/>
        <w:bidi w:val="0"/>
        <w:spacing w:line="600" w:lineRule="exact"/>
        <w:rPr>
          <w:rFonts w:hint="eastAsia" w:ascii="黑体" w:hAnsi="黑体" w:eastAsia="黑体" w:cs="黑体"/>
          <w:sz w:val="32"/>
          <w:szCs w:val="32"/>
        </w:rPr>
      </w:pPr>
    </w:p>
    <w:p>
      <w:pPr>
        <w:keepNext w:val="0"/>
        <w:keepLines w:val="0"/>
        <w:pageBreakBefore w:val="0"/>
        <w:widowControl w:val="0"/>
        <w:kinsoku/>
        <w:wordWrap/>
        <w:topLinePunct w:val="0"/>
        <w:autoSpaceDE/>
        <w:autoSpaceDN/>
        <w:bidi w:val="0"/>
        <w:spacing w:line="600" w:lineRule="exact"/>
        <w:rPr>
          <w:rFonts w:hint="eastAsia" w:ascii="黑体" w:hAnsi="黑体" w:eastAsia="黑体" w:cs="黑体"/>
          <w:sz w:val="32"/>
          <w:szCs w:val="32"/>
        </w:rPr>
      </w:pPr>
    </w:p>
    <w:p>
      <w:pPr>
        <w:keepNext w:val="0"/>
        <w:keepLines w:val="0"/>
        <w:pageBreakBefore w:val="0"/>
        <w:widowControl w:val="0"/>
        <w:kinsoku/>
        <w:wordWrap/>
        <w:topLinePunct w:val="0"/>
        <w:autoSpaceDE/>
        <w:autoSpaceDN/>
        <w:bidi w:val="0"/>
        <w:spacing w:line="600" w:lineRule="exact"/>
        <w:rPr>
          <w:rFonts w:hint="eastAsia" w:ascii="黑体" w:hAnsi="黑体" w:eastAsia="黑体" w:cs="黑体"/>
          <w:sz w:val="32"/>
          <w:szCs w:val="32"/>
        </w:rPr>
      </w:pPr>
    </w:p>
    <w:p>
      <w:pPr>
        <w:keepNext w:val="0"/>
        <w:keepLines w:val="0"/>
        <w:pageBreakBefore w:val="0"/>
        <w:widowControl w:val="0"/>
        <w:kinsoku/>
        <w:wordWrap/>
        <w:topLinePunct w:val="0"/>
        <w:autoSpaceDE/>
        <w:autoSpaceDN/>
        <w:bidi w:val="0"/>
        <w:spacing w:line="600" w:lineRule="exact"/>
        <w:rPr>
          <w:rFonts w:hint="eastAsia" w:ascii="黑体" w:hAnsi="黑体" w:eastAsia="黑体" w:cs="黑体"/>
          <w:sz w:val="32"/>
          <w:szCs w:val="32"/>
        </w:rPr>
      </w:pPr>
    </w:p>
    <w:p>
      <w:pPr>
        <w:keepNext w:val="0"/>
        <w:keepLines w:val="0"/>
        <w:pageBreakBefore w:val="0"/>
        <w:widowControl w:val="0"/>
        <w:kinsoku/>
        <w:topLinePunct w:val="0"/>
        <w:bidi w:val="0"/>
        <w:rPr>
          <w:rFonts w:hint="eastAsia" w:ascii="黑体" w:hAnsi="黑体" w:eastAsia="黑体" w:cs="黑体"/>
          <w:sz w:val="32"/>
          <w:szCs w:val="32"/>
        </w:rPr>
      </w:pPr>
    </w:p>
    <w:p>
      <w:pPr>
        <w:keepNext w:val="0"/>
        <w:keepLines w:val="0"/>
        <w:pageBreakBefore w:val="0"/>
        <w:widowControl w:val="0"/>
        <w:kinsoku/>
        <w:topLinePunct w:val="0"/>
        <w:bidi w:val="0"/>
        <w:rPr>
          <w:rFonts w:hint="eastAsia" w:ascii="Times New Roman" w:hAnsi="Times New Roman" w:eastAsia="黑体" w:cs="Times New Roman"/>
          <w:sz w:val="44"/>
          <w:szCs w:val="44"/>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after="313" w:afterLines="100" w:line="580" w:lineRule="exact"/>
        <w:jc w:val="center"/>
        <w:textAlignment w:val="auto"/>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eastAsia="zh-CN"/>
        </w:rPr>
        <w:t>福建</w:t>
      </w:r>
      <w:r>
        <w:rPr>
          <w:rFonts w:hint="default" w:ascii="Times New Roman" w:hAnsi="Times New Roman" w:eastAsia="方正小标宋简体" w:cs="Times New Roman"/>
          <w:sz w:val="44"/>
          <w:szCs w:val="44"/>
        </w:rPr>
        <w:t>省幼</w:t>
      </w:r>
      <w:r>
        <w:rPr>
          <w:rFonts w:hint="eastAsia" w:ascii="Times New Roman" w:hAnsi="Times New Roman" w:eastAsia="方正小标宋简体" w:cs="Times New Roman"/>
          <w:sz w:val="44"/>
          <w:szCs w:val="44"/>
          <w:lang w:eastAsia="zh-CN"/>
        </w:rPr>
        <w:t>小</w:t>
      </w:r>
      <w:r>
        <w:rPr>
          <w:rFonts w:hint="default" w:ascii="Times New Roman" w:hAnsi="Times New Roman" w:eastAsia="方正小标宋简体" w:cs="Times New Roman"/>
          <w:sz w:val="44"/>
          <w:szCs w:val="44"/>
        </w:rPr>
        <w:t>衔接实验区申报表</w:t>
      </w:r>
    </w:p>
    <w:tbl>
      <w:tblPr>
        <w:tblStyle w:val="7"/>
        <w:tblW w:w="93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2625"/>
        <w:gridCol w:w="1605"/>
        <w:gridCol w:w="3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 w:hRule="atLeast"/>
        </w:trPr>
        <w:tc>
          <w:tcPr>
            <w:tcW w:w="1780"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名　称</w:t>
            </w:r>
          </w:p>
        </w:tc>
        <w:tc>
          <w:tcPr>
            <w:tcW w:w="7524" w:type="dxa"/>
            <w:gridSpan w:val="3"/>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rPr>
            </w:pPr>
            <w:r>
              <w:rPr>
                <w:rFonts w:hint="eastAsia" w:ascii="仿宋_GB2312" w:hAnsi="仿宋_GB2312" w:eastAsia="仿宋_GB2312" w:cs="仿宋_GB2312"/>
                <w:b w:val="0"/>
                <w:bCs w:val="0"/>
                <w:sz w:val="28"/>
                <w:szCs w:val="28"/>
                <w:shd w:val="clear" w:color="auto" w:fill="FFFFFF"/>
                <w:lang w:val="en-US" w:eastAsia="zh-CN"/>
              </w:rPr>
              <w:t>市　　　　</w:t>
            </w:r>
            <w:r>
              <w:rPr>
                <w:rFonts w:hint="eastAsia" w:ascii="仿宋_GB2312" w:hAnsi="仿宋_GB2312" w:eastAsia="仿宋_GB2312" w:cs="仿宋_GB2312"/>
                <w:b w:val="0"/>
                <w:bCs w:val="0"/>
                <w:sz w:val="28"/>
                <w:szCs w:val="28"/>
                <w:u w:val="none"/>
                <w:shd w:val="clear" w:color="auto" w:fill="FFFFFF"/>
                <w:lang w:val="en-US" w:eastAsia="zh-CN"/>
              </w:rPr>
              <w:t>县（市、区）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 w:hRule="atLeast"/>
        </w:trPr>
        <w:tc>
          <w:tcPr>
            <w:tcW w:w="1780"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联系人</w:t>
            </w:r>
          </w:p>
        </w:tc>
        <w:tc>
          <w:tcPr>
            <w:tcW w:w="2625"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rPr>
            </w:pPr>
          </w:p>
        </w:tc>
        <w:tc>
          <w:tcPr>
            <w:tcW w:w="1605"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单位职务</w:t>
            </w:r>
          </w:p>
        </w:tc>
        <w:tc>
          <w:tcPr>
            <w:tcW w:w="3294"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 w:hRule="atLeast"/>
        </w:trPr>
        <w:tc>
          <w:tcPr>
            <w:tcW w:w="1780"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联系电话</w:t>
            </w:r>
          </w:p>
        </w:tc>
        <w:tc>
          <w:tcPr>
            <w:tcW w:w="2625"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rPr>
            </w:pPr>
          </w:p>
        </w:tc>
        <w:tc>
          <w:tcPr>
            <w:tcW w:w="1605"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电子邮箱</w:t>
            </w:r>
          </w:p>
        </w:tc>
        <w:tc>
          <w:tcPr>
            <w:tcW w:w="3294" w:type="dxa"/>
            <w:vAlign w:val="top"/>
          </w:tcPr>
          <w:p>
            <w:pPr>
              <w:keepNext w:val="0"/>
              <w:keepLines w:val="0"/>
              <w:pageBreakBefore w:val="0"/>
              <w:widowControl w:val="0"/>
              <w:kinsoku/>
              <w:topLinePunct w:val="0"/>
              <w:bidi w:val="0"/>
              <w:jc w:val="center"/>
              <w:rPr>
                <w:rFonts w:hint="eastAsia" w:ascii="仿宋_GB2312" w:hAnsi="仿宋_GB2312" w:eastAsia="仿宋_GB2312" w:cs="仿宋_GB2312"/>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0" w:hRule="atLeast"/>
        </w:trPr>
        <w:tc>
          <w:tcPr>
            <w:tcW w:w="1780" w:type="dxa"/>
            <w:vMerge w:val="restart"/>
            <w:vAlign w:val="center"/>
          </w:tcPr>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基本概况</w:t>
            </w:r>
          </w:p>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lang w:eastAsia="zh-CN"/>
              </w:rPr>
            </w:pP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2021年</w:t>
            </w:r>
            <w:r>
              <w:rPr>
                <w:rFonts w:hint="eastAsia" w:ascii="仿宋_GB2312" w:hAnsi="仿宋_GB2312" w:eastAsia="仿宋_GB2312" w:cs="仿宋_GB2312"/>
                <w:sz w:val="28"/>
                <w:szCs w:val="36"/>
                <w:lang w:eastAsia="zh-CN"/>
              </w:rPr>
              <w:t>）</w:t>
            </w:r>
          </w:p>
        </w:tc>
        <w:tc>
          <w:tcPr>
            <w:tcW w:w="7524"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shd w:val="clear" w:color="auto" w:fill="FFFFFF"/>
                <w:lang w:eastAsia="zh-CN"/>
              </w:rPr>
            </w:pPr>
            <w:r>
              <w:rPr>
                <w:rFonts w:hint="eastAsia" w:ascii="仿宋_GB2312" w:hAnsi="仿宋_GB2312" w:eastAsia="仿宋_GB2312" w:cs="仿宋_GB2312"/>
                <w:sz w:val="28"/>
                <w:szCs w:val="28"/>
                <w:shd w:val="clear" w:color="auto" w:fill="FFFFFF"/>
              </w:rPr>
              <w:t>学前三年入园率</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sz w:val="28"/>
                <w:szCs w:val="28"/>
                <w:shd w:val="clear" w:color="auto" w:fill="FFFFFF"/>
              </w:rPr>
              <w:t>%</w:t>
            </w:r>
            <w:r>
              <w:rPr>
                <w:rFonts w:hint="eastAsia" w:ascii="仿宋_GB2312" w:hAnsi="仿宋_GB2312" w:eastAsia="仿宋_GB2312" w:cs="仿宋_GB2312"/>
                <w:sz w:val="28"/>
                <w:szCs w:val="28"/>
                <w:shd w:val="clear" w:color="auto" w:fill="FFFFFF"/>
                <w:lang w:eastAsia="zh-CN"/>
              </w:rPr>
              <w:t>，普惠率</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sz w:val="28"/>
                <w:szCs w:val="28"/>
                <w:shd w:val="clear" w:color="auto" w:fill="FFFFFF"/>
              </w:rPr>
              <w:t>%</w:t>
            </w:r>
            <w:r>
              <w:rPr>
                <w:rFonts w:hint="eastAsia" w:ascii="仿宋_GB2312" w:hAnsi="仿宋_GB2312" w:eastAsia="仿宋_GB2312" w:cs="仿宋_GB2312"/>
                <w:sz w:val="28"/>
                <w:szCs w:val="28"/>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shd w:val="clear" w:color="auto" w:fill="FFFFFF"/>
                <w:lang w:val="en-US" w:eastAsia="zh-CN"/>
              </w:rPr>
            </w:pPr>
            <w:r>
              <w:rPr>
                <w:rFonts w:hint="eastAsia" w:ascii="仿宋_GB2312" w:hAnsi="仿宋_GB2312" w:eastAsia="仿宋_GB2312" w:cs="仿宋_GB2312"/>
                <w:sz w:val="28"/>
                <w:szCs w:val="28"/>
                <w:shd w:val="clear" w:color="auto" w:fill="FFFFFF"/>
              </w:rPr>
              <w:t>幼儿园</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sz w:val="28"/>
                <w:szCs w:val="28"/>
                <w:shd w:val="clear" w:color="auto" w:fill="FFFFFF"/>
              </w:rPr>
              <w:t>所，</w:t>
            </w:r>
            <w:r>
              <w:rPr>
                <w:rFonts w:hint="eastAsia" w:ascii="仿宋_GB2312" w:hAnsi="仿宋_GB2312" w:eastAsia="仿宋_GB2312" w:cs="仿宋_GB2312"/>
                <w:sz w:val="28"/>
                <w:szCs w:val="28"/>
                <w:shd w:val="clear" w:color="auto" w:fill="FFFFFF"/>
                <w:lang w:eastAsia="zh-CN"/>
              </w:rPr>
              <w:t>在园幼儿</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sz w:val="28"/>
                <w:szCs w:val="28"/>
                <w:shd w:val="clear" w:color="auto" w:fill="FFFFFF"/>
                <w:lang w:eastAsia="zh-CN"/>
              </w:rPr>
              <w:t>人</w:t>
            </w:r>
            <w:r>
              <w:rPr>
                <w:rFonts w:hint="eastAsia" w:ascii="仿宋_GB2312" w:hAnsi="仿宋_GB2312" w:eastAsia="仿宋_GB2312" w:cs="仿宋_GB2312"/>
                <w:sz w:val="28"/>
                <w:szCs w:val="28"/>
                <w:shd w:val="clear" w:color="auto" w:fill="FFFFFF"/>
                <w:lang w:val="en-US" w:eastAsia="zh-CN"/>
              </w:rPr>
              <w:t>；</w:t>
            </w:r>
            <w:r>
              <w:rPr>
                <w:rFonts w:hint="eastAsia" w:ascii="仿宋_GB2312" w:hAnsi="仿宋_GB2312" w:eastAsia="仿宋_GB2312" w:cs="仿宋_GB2312"/>
                <w:sz w:val="28"/>
                <w:szCs w:val="28"/>
                <w:shd w:val="clear" w:color="auto" w:fill="FFFFFF"/>
              </w:rPr>
              <w:t>公办园</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sz w:val="28"/>
                <w:szCs w:val="28"/>
                <w:shd w:val="clear" w:color="auto" w:fill="FFFFFF"/>
              </w:rPr>
              <w:t>所，</w:t>
            </w:r>
            <w:r>
              <w:rPr>
                <w:rFonts w:hint="eastAsia" w:ascii="仿宋_GB2312" w:hAnsi="仿宋_GB2312" w:eastAsia="仿宋_GB2312" w:cs="仿宋_GB2312"/>
                <w:sz w:val="28"/>
                <w:szCs w:val="28"/>
                <w:shd w:val="clear" w:color="auto" w:fill="FFFFFF"/>
                <w:lang w:eastAsia="zh-CN"/>
              </w:rPr>
              <w:t>在园幼儿</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sz w:val="28"/>
                <w:szCs w:val="28"/>
                <w:shd w:val="clear" w:color="auto" w:fill="FFFFFF"/>
                <w:lang w:val="en-US" w:eastAsia="zh-CN"/>
              </w:rPr>
              <w:t>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36"/>
              </w:rPr>
            </w:pPr>
            <w:r>
              <w:rPr>
                <w:rFonts w:hint="eastAsia" w:ascii="仿宋_GB2312" w:hAnsi="仿宋_GB2312" w:eastAsia="仿宋_GB2312" w:cs="仿宋_GB2312"/>
                <w:sz w:val="28"/>
                <w:szCs w:val="28"/>
                <w:shd w:val="clear" w:color="auto" w:fill="FFFFFF"/>
              </w:rPr>
              <w:t>普惠性民办园</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sz w:val="28"/>
                <w:szCs w:val="28"/>
                <w:shd w:val="clear" w:color="auto" w:fill="FFFFFF"/>
              </w:rPr>
              <w:t>所</w:t>
            </w:r>
            <w:r>
              <w:rPr>
                <w:rFonts w:hint="eastAsia" w:ascii="仿宋_GB2312" w:hAnsi="仿宋_GB2312" w:eastAsia="仿宋_GB2312" w:cs="仿宋_GB2312"/>
                <w:sz w:val="28"/>
                <w:szCs w:val="28"/>
                <w:shd w:val="clear" w:color="auto" w:fill="FFFFFF"/>
                <w:lang w:eastAsia="zh-CN"/>
              </w:rPr>
              <w:t>，在园幼儿</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sz w:val="28"/>
                <w:szCs w:val="28"/>
                <w:shd w:val="clear" w:color="auto" w:fill="FFFFFF"/>
                <w:lang w:val="en-US" w:eastAsia="zh-CN"/>
              </w:rPr>
              <w:t>人</w:t>
            </w:r>
            <w:r>
              <w:rPr>
                <w:rFonts w:hint="eastAsia" w:ascii="仿宋_GB2312" w:hAnsi="仿宋_GB2312" w:eastAsia="仿宋_GB2312" w:cs="仿宋_GB2312"/>
                <w:sz w:val="28"/>
                <w:szCs w:val="3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7" w:hRule="atLeast"/>
        </w:trPr>
        <w:tc>
          <w:tcPr>
            <w:tcW w:w="1780" w:type="dxa"/>
            <w:vMerge w:val="continue"/>
            <w:vAlign w:val="center"/>
          </w:tcPr>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rPr>
            </w:pPr>
          </w:p>
        </w:tc>
        <w:tc>
          <w:tcPr>
            <w:tcW w:w="7524"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36"/>
              </w:rPr>
            </w:pPr>
            <w:r>
              <w:rPr>
                <w:rFonts w:hint="eastAsia" w:ascii="仿宋_GB2312" w:hAnsi="仿宋_GB2312" w:eastAsia="仿宋_GB2312" w:cs="仿宋_GB2312"/>
                <w:color w:val="000000"/>
                <w:sz w:val="28"/>
                <w:szCs w:val="28"/>
                <w:shd w:val="clear" w:color="auto" w:fill="FFFFFF"/>
                <w:lang w:eastAsia="zh-CN"/>
              </w:rPr>
              <w:t>小学</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color w:val="000000"/>
                <w:sz w:val="28"/>
                <w:szCs w:val="28"/>
                <w:shd w:val="clear" w:color="auto" w:fill="FFFFFF"/>
              </w:rPr>
              <w:t>所，</w:t>
            </w:r>
            <w:r>
              <w:rPr>
                <w:rFonts w:hint="eastAsia" w:ascii="仿宋_GB2312" w:hAnsi="仿宋_GB2312" w:eastAsia="仿宋_GB2312" w:cs="仿宋_GB2312"/>
                <w:color w:val="000000"/>
                <w:sz w:val="28"/>
                <w:szCs w:val="28"/>
                <w:shd w:val="clear" w:color="auto" w:fill="FFFFFF"/>
                <w:lang w:eastAsia="zh-CN"/>
              </w:rPr>
              <w:t>在校生</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color w:val="000000"/>
                <w:sz w:val="28"/>
                <w:szCs w:val="28"/>
                <w:shd w:val="clear" w:color="auto" w:fill="FFFFFF"/>
                <w:lang w:val="en-US" w:eastAsia="zh-CN"/>
              </w:rPr>
              <w:t>人；</w:t>
            </w:r>
            <w:r>
              <w:rPr>
                <w:rFonts w:hint="eastAsia" w:ascii="仿宋_GB2312" w:hAnsi="仿宋_GB2312" w:eastAsia="仿宋_GB2312" w:cs="仿宋_GB2312"/>
                <w:color w:val="000000"/>
                <w:sz w:val="28"/>
                <w:szCs w:val="28"/>
                <w:shd w:val="clear" w:color="auto" w:fill="FFFFFF"/>
              </w:rPr>
              <w:t>公办</w:t>
            </w:r>
            <w:r>
              <w:rPr>
                <w:rFonts w:hint="eastAsia" w:ascii="仿宋_GB2312" w:hAnsi="仿宋_GB2312" w:eastAsia="仿宋_GB2312" w:cs="仿宋_GB2312"/>
                <w:color w:val="000000"/>
                <w:sz w:val="28"/>
                <w:szCs w:val="28"/>
                <w:shd w:val="clear" w:color="auto" w:fill="FFFFFF"/>
                <w:lang w:eastAsia="zh-CN"/>
              </w:rPr>
              <w:t>小学</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color w:val="000000"/>
                <w:sz w:val="28"/>
                <w:szCs w:val="28"/>
                <w:shd w:val="clear" w:color="auto" w:fill="FFFFFF"/>
              </w:rPr>
              <w:t>所，</w:t>
            </w:r>
            <w:r>
              <w:rPr>
                <w:rFonts w:hint="eastAsia" w:ascii="仿宋_GB2312" w:hAnsi="仿宋_GB2312" w:eastAsia="仿宋_GB2312" w:cs="仿宋_GB2312"/>
                <w:color w:val="000000"/>
                <w:sz w:val="28"/>
                <w:szCs w:val="28"/>
                <w:shd w:val="clear" w:color="auto" w:fill="FFFFFF"/>
                <w:lang w:eastAsia="zh-CN"/>
              </w:rPr>
              <w:t>在校生</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color w:val="000000"/>
                <w:sz w:val="28"/>
                <w:szCs w:val="28"/>
                <w:shd w:val="clear" w:color="auto" w:fill="FFFFFF"/>
                <w:lang w:val="en-US" w:eastAsia="zh-CN"/>
              </w:rPr>
              <w:t>人；</w:t>
            </w:r>
            <w:r>
              <w:rPr>
                <w:rFonts w:hint="eastAsia" w:ascii="仿宋_GB2312" w:hAnsi="仿宋_GB2312" w:eastAsia="仿宋_GB2312" w:cs="仿宋_GB2312"/>
                <w:color w:val="000000"/>
                <w:sz w:val="28"/>
                <w:szCs w:val="28"/>
                <w:shd w:val="clear" w:color="auto" w:fill="FFFFFF"/>
              </w:rPr>
              <w:t>民办</w:t>
            </w:r>
            <w:r>
              <w:rPr>
                <w:rFonts w:hint="eastAsia" w:ascii="仿宋_GB2312" w:hAnsi="仿宋_GB2312" w:eastAsia="仿宋_GB2312" w:cs="仿宋_GB2312"/>
                <w:color w:val="000000"/>
                <w:sz w:val="28"/>
                <w:szCs w:val="28"/>
                <w:shd w:val="clear" w:color="auto" w:fill="FFFFFF"/>
                <w:lang w:eastAsia="zh-CN"/>
              </w:rPr>
              <w:t>小学</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color w:val="000000"/>
                <w:sz w:val="28"/>
                <w:szCs w:val="28"/>
                <w:shd w:val="clear" w:color="auto" w:fill="FFFFFF"/>
                <w:lang w:eastAsia="zh-CN"/>
              </w:rPr>
              <w:t>所，在校生</w:t>
            </w:r>
            <w:r>
              <w:rPr>
                <w:rFonts w:hint="eastAsia" w:ascii="仿宋_GB2312" w:hAnsi="仿宋_GB2312" w:eastAsia="仿宋_GB2312" w:cs="仿宋_GB2312"/>
                <w:sz w:val="28"/>
                <w:szCs w:val="28"/>
                <w:u w:val="single"/>
                <w:shd w:val="clear" w:color="auto" w:fill="FFFFFF"/>
                <w:lang w:val="en-US" w:eastAsia="zh-CN"/>
              </w:rPr>
              <w:t xml:space="preserve">      </w:t>
            </w:r>
            <w:r>
              <w:rPr>
                <w:rFonts w:hint="eastAsia" w:ascii="仿宋_GB2312" w:hAnsi="仿宋_GB2312" w:eastAsia="仿宋_GB2312" w:cs="仿宋_GB2312"/>
                <w:color w:val="000000"/>
                <w:sz w:val="28"/>
                <w:szCs w:val="28"/>
                <w:shd w:val="clear" w:color="auto" w:fill="FFFFFF"/>
                <w:lang w:val="en-US" w:eastAsia="zh-CN"/>
              </w:rPr>
              <w:t>人</w:t>
            </w:r>
            <w:r>
              <w:rPr>
                <w:rFonts w:hint="eastAsia" w:ascii="仿宋_GB2312" w:hAnsi="仿宋_GB2312" w:eastAsia="仿宋_GB2312" w:cs="仿宋_GB2312"/>
                <w:color w:val="000000"/>
                <w:sz w:val="28"/>
                <w:szCs w:val="28"/>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5" w:hRule="atLeast"/>
        </w:trPr>
        <w:tc>
          <w:tcPr>
            <w:tcW w:w="1780" w:type="dxa"/>
            <w:vAlign w:val="center"/>
          </w:tcPr>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申报理由</w:t>
            </w:r>
          </w:p>
        </w:tc>
        <w:tc>
          <w:tcPr>
            <w:tcW w:w="7524" w:type="dxa"/>
            <w:gridSpan w:val="3"/>
            <w:vAlign w:val="top"/>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shd w:val="clear" w:color="auto" w:fill="FFFFFF"/>
                <w:lang w:val="en-US" w:eastAsia="zh-CN"/>
              </w:rPr>
            </w:pPr>
            <w:r>
              <w:rPr>
                <w:rFonts w:hint="eastAsia" w:ascii="仿宋_GB2312" w:hAnsi="仿宋_GB2312" w:eastAsia="仿宋_GB2312" w:cs="仿宋_GB2312"/>
                <w:sz w:val="28"/>
                <w:szCs w:val="28"/>
                <w:shd w:val="clear" w:color="auto" w:fill="FFFFFF"/>
                <w:lang w:val="en-US" w:eastAsia="zh-CN"/>
              </w:rPr>
              <w:t>包括但不限于实验区已有基础、建设思路、政策措施、投入保障、预期成果等（1000字以内）：</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36"/>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36"/>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36"/>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8" w:hRule="atLeast"/>
        </w:trPr>
        <w:tc>
          <w:tcPr>
            <w:tcW w:w="1780" w:type="dxa"/>
            <w:vAlign w:val="center"/>
          </w:tcPr>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设区市教育局推荐意见</w:t>
            </w:r>
          </w:p>
        </w:tc>
        <w:tc>
          <w:tcPr>
            <w:tcW w:w="7524" w:type="dxa"/>
            <w:gridSpan w:val="3"/>
            <w:vAlign w:val="top"/>
          </w:tcPr>
          <w:p>
            <w:pPr>
              <w:keepNext w:val="0"/>
              <w:keepLines w:val="0"/>
              <w:pageBreakBefore w:val="0"/>
              <w:widowControl w:val="0"/>
              <w:kinsoku/>
              <w:wordWrap/>
              <w:overflowPunct/>
              <w:topLinePunct w:val="0"/>
              <w:bidi w:val="0"/>
              <w:snapToGrid/>
              <w:spacing w:line="400" w:lineRule="exact"/>
              <w:textAlignment w:val="auto"/>
              <w:rPr>
                <w:rFonts w:hint="eastAsia" w:ascii="仿宋_GB2312" w:hAnsi="仿宋_GB2312" w:eastAsia="仿宋_GB2312" w:cs="仿宋_GB2312"/>
                <w:sz w:val="28"/>
                <w:szCs w:val="36"/>
                <w:lang w:eastAsia="zh-CN"/>
              </w:rPr>
            </w:pPr>
          </w:p>
          <w:p>
            <w:pPr>
              <w:keepNext w:val="0"/>
              <w:keepLines w:val="0"/>
              <w:pageBreakBefore w:val="0"/>
              <w:widowControl w:val="0"/>
              <w:kinsoku/>
              <w:wordWrap/>
              <w:overflowPunct/>
              <w:topLinePunct w:val="0"/>
              <w:bidi w:val="0"/>
              <w:snapToGrid/>
              <w:spacing w:line="400" w:lineRule="exact"/>
              <w:textAlignment w:val="auto"/>
              <w:rPr>
                <w:rFonts w:hint="eastAsia" w:ascii="仿宋_GB2312" w:hAnsi="仿宋_GB2312" w:eastAsia="仿宋_GB2312" w:cs="仿宋_GB2312"/>
                <w:sz w:val="28"/>
                <w:szCs w:val="36"/>
                <w:lang w:eastAsia="zh-CN"/>
              </w:rPr>
            </w:pPr>
          </w:p>
          <w:p>
            <w:pPr>
              <w:keepNext w:val="0"/>
              <w:keepLines w:val="0"/>
              <w:pageBreakBefore w:val="0"/>
              <w:widowControl w:val="0"/>
              <w:kinsoku/>
              <w:wordWrap/>
              <w:overflowPunct/>
              <w:topLinePunct w:val="0"/>
              <w:bidi w:val="0"/>
              <w:snapToGrid/>
              <w:spacing w:line="40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28"/>
                <w:szCs w:val="36"/>
                <w:lang w:eastAsia="zh-CN"/>
              </w:rPr>
              <w:t>　　　　　　　　　　　　　　</w:t>
            </w:r>
            <w:r>
              <w:rPr>
                <w:rFonts w:hint="eastAsia" w:ascii="仿宋_GB2312" w:hAnsi="仿宋_GB2312" w:eastAsia="仿宋_GB2312" w:cs="仿宋_GB2312"/>
                <w:sz w:val="30"/>
                <w:szCs w:val="30"/>
                <w:lang w:eastAsia="zh-CN"/>
              </w:rPr>
              <w:t>单位（盖</w:t>
            </w:r>
            <w:r>
              <w:rPr>
                <w:rFonts w:hint="eastAsia" w:ascii="仿宋_GB2312" w:hAnsi="仿宋_GB2312" w:eastAsia="仿宋_GB2312" w:cs="仿宋_GB2312"/>
                <w:sz w:val="30"/>
                <w:szCs w:val="30"/>
              </w:rPr>
              <w:t>章</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 xml:space="preserve">：               </w:t>
            </w:r>
          </w:p>
          <w:p>
            <w:pPr>
              <w:pStyle w:val="14"/>
              <w:keepNext w:val="0"/>
              <w:keepLines w:val="0"/>
              <w:pageBreakBefore w:val="0"/>
              <w:widowControl w:val="0"/>
              <w:kinsoku/>
              <w:topLinePunct w:val="0"/>
              <w:bidi w:val="0"/>
              <w:ind w:firstLine="4500" w:firstLineChars="1500"/>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30"/>
                <w:szCs w:val="30"/>
                <w:lang w:eastAsia="zh-CN"/>
              </w:rPr>
              <w:t>年</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月</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日</w:t>
            </w:r>
          </w:p>
        </w:tc>
      </w:tr>
    </w:tbl>
    <w:p>
      <w:pPr>
        <w:keepNext w:val="0"/>
        <w:keepLines w:val="0"/>
        <w:pageBreakBefore w:val="0"/>
        <w:widowControl w:val="0"/>
        <w:kinsoku/>
        <w:topLinePunct w:val="0"/>
        <w:bidi w:val="0"/>
        <w:sectPr>
          <w:footerReference r:id="rId3" w:type="default"/>
          <w:pgSz w:w="11906" w:h="16838"/>
          <w:pgMar w:top="1928" w:right="1474" w:bottom="1701" w:left="1587" w:header="964" w:footer="1332" w:gutter="0"/>
          <w:pgNumType w:fmt="numberInDash"/>
          <w:cols w:space="0" w:num="1"/>
          <w:rtlGutter w:val="0"/>
          <w:docGrid w:type="lines" w:linePitch="312" w:charSpace="0"/>
        </w:sectPr>
      </w:pPr>
    </w:p>
    <w:p>
      <w:pPr>
        <w:keepNext w:val="0"/>
        <w:keepLines w:val="0"/>
        <w:pageBreakBefore w:val="0"/>
        <w:widowControl w:val="0"/>
        <w:kinsoku/>
        <w:topLinePunct w:val="0"/>
        <w:bidi w:val="0"/>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keepNext w:val="0"/>
        <w:keepLines w:val="0"/>
        <w:pageBreakBefore w:val="0"/>
        <w:widowControl w:val="0"/>
        <w:kinsoku/>
        <w:topLinePunct w:val="0"/>
        <w:bidi w:val="0"/>
        <w:spacing w:line="580" w:lineRule="exact"/>
        <w:jc w:val="center"/>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eastAsia="zh-CN"/>
        </w:rPr>
        <w:t>福建</w:t>
      </w:r>
      <w:r>
        <w:rPr>
          <w:rFonts w:hint="default" w:ascii="Times New Roman" w:hAnsi="Times New Roman" w:eastAsia="方正小标宋简体" w:cs="Times New Roman"/>
          <w:sz w:val="44"/>
          <w:szCs w:val="44"/>
        </w:rPr>
        <w:t>省幼小衔接</w:t>
      </w:r>
      <w:r>
        <w:rPr>
          <w:rFonts w:hint="eastAsia" w:ascii="Times New Roman" w:hAnsi="Times New Roman" w:eastAsia="方正小标宋简体" w:cs="Times New Roman"/>
          <w:sz w:val="44"/>
          <w:szCs w:val="44"/>
          <w:lang w:eastAsia="zh-CN"/>
        </w:rPr>
        <w:t>试点校（园）</w:t>
      </w:r>
      <w:r>
        <w:rPr>
          <w:rFonts w:hint="default" w:ascii="Times New Roman" w:hAnsi="Times New Roman" w:eastAsia="方正小标宋简体" w:cs="Times New Roman"/>
          <w:sz w:val="44"/>
          <w:szCs w:val="44"/>
          <w:lang w:val="en-US" w:eastAsia="zh-CN"/>
        </w:rPr>
        <w:t>申报</w:t>
      </w:r>
      <w:r>
        <w:rPr>
          <w:rFonts w:hint="default" w:ascii="Times New Roman" w:hAnsi="Times New Roman" w:eastAsia="方正小标宋简体" w:cs="Times New Roman"/>
          <w:sz w:val="44"/>
          <w:szCs w:val="44"/>
        </w:rPr>
        <w:t>表</w:t>
      </w:r>
    </w:p>
    <w:p>
      <w:pPr>
        <w:keepNext w:val="0"/>
        <w:keepLines w:val="0"/>
        <w:pageBreakBefore w:val="0"/>
        <w:widowControl w:val="0"/>
        <w:kinsoku/>
        <w:topLinePunct w:val="0"/>
        <w:bidi w:val="0"/>
        <w:jc w:val="center"/>
        <w:rPr>
          <w:rFonts w:hint="eastAsia" w:ascii="楷体_GB2312" w:hAnsi="楷体_GB2312" w:eastAsia="楷体_GB2312" w:cs="楷体_GB2312"/>
          <w:i w:val="0"/>
          <w:caps w:val="0"/>
          <w:color w:val="auto"/>
          <w:spacing w:val="0"/>
          <w:sz w:val="32"/>
          <w:szCs w:val="32"/>
          <w:shd w:val="clear" w:color="auto" w:fill="FFFFFF"/>
          <w:vertAlign w:val="baseline"/>
          <w:lang w:val="en-US" w:eastAsia="zh-CN"/>
        </w:rPr>
      </w:pPr>
      <w:r>
        <w:rPr>
          <w:rFonts w:hint="eastAsia" w:ascii="楷体_GB2312" w:hAnsi="楷体_GB2312" w:eastAsia="楷体_GB2312" w:cs="楷体_GB2312"/>
          <w:i w:val="0"/>
          <w:caps w:val="0"/>
          <w:color w:val="auto"/>
          <w:spacing w:val="0"/>
          <w:sz w:val="32"/>
          <w:szCs w:val="32"/>
          <w:shd w:val="clear" w:color="auto" w:fill="FFFFFF"/>
          <w:vertAlign w:val="baseline"/>
          <w:lang w:val="en-US" w:eastAsia="zh-CN"/>
        </w:rPr>
        <w:t>（实验区）</w:t>
      </w:r>
    </w:p>
    <w:p>
      <w:pPr>
        <w:keepNext w:val="0"/>
        <w:keepLines w:val="0"/>
        <w:pageBreakBefore w:val="0"/>
        <w:widowControl w:val="0"/>
        <w:kinsoku/>
        <w:topLinePunct w:val="0"/>
        <w:bidi w:val="0"/>
      </w:pPr>
    </w:p>
    <w:tbl>
      <w:tblPr>
        <w:tblStyle w:val="8"/>
        <w:tblW w:w="9424" w:type="dxa"/>
        <w:jc w:val="center"/>
        <w:tblInd w:w="-3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3"/>
        <w:gridCol w:w="3086"/>
        <w:gridCol w:w="4"/>
        <w:gridCol w:w="4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424" w:type="dxa"/>
            <w:gridSpan w:val="4"/>
            <w:tcBorders>
              <w:top w:val="single" w:color="auto" w:sz="4" w:space="0"/>
              <w:bottom w:val="single" w:color="auto" w:sz="4" w:space="0"/>
            </w:tcBorders>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eastAsia" w:ascii="Times New Roman" w:hAnsi="Times New Roman" w:eastAsia="仿宋_GB2312" w:cs="Times New Roman"/>
                <w:i w:val="0"/>
                <w:caps w:val="0"/>
                <w:color w:val="auto"/>
                <w:spacing w:val="0"/>
                <w:sz w:val="28"/>
                <w:szCs w:val="28"/>
                <w:shd w:val="clear" w:color="auto" w:fill="FFFFFF"/>
                <w:vertAlign w:val="baseline"/>
                <w:lang w:val="en-US" w:eastAsia="zh-CN"/>
              </w:rPr>
              <w:t>幼儿园（学校）</w:t>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424" w:type="dxa"/>
            <w:gridSpan w:val="4"/>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eastAsia" w:ascii="Times New Roman" w:hAnsi="Times New Roman" w:eastAsia="仿宋_GB2312" w:cs="Times New Roman"/>
                <w:i w:val="0"/>
                <w:caps w:val="0"/>
                <w:color w:val="auto"/>
                <w:spacing w:val="0"/>
                <w:sz w:val="28"/>
                <w:szCs w:val="28"/>
                <w:shd w:val="clear" w:color="auto" w:fill="FFFFFF"/>
                <w:vertAlign w:val="baseline"/>
                <w:lang w:val="en-US" w:eastAsia="zh-CN"/>
              </w:rPr>
              <w:t>结对幼儿园（学校）</w:t>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名称</w:t>
            </w:r>
            <w:r>
              <w:rPr>
                <w:rFonts w:hint="eastAsia" w:ascii="Times New Roman" w:hAnsi="Times New Roman" w:eastAsia="仿宋_GB2312" w:cs="Times New Roman"/>
                <w:i w:val="0"/>
                <w:caps w:val="0"/>
                <w:color w:val="auto"/>
                <w:spacing w:val="0"/>
                <w:sz w:val="28"/>
                <w:szCs w:val="28"/>
                <w:shd w:val="clear" w:color="auto" w:fill="FFFFFF"/>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573" w:type="dxa"/>
            <w:gridSpan w:val="3"/>
            <w:tcBorders>
              <w:top w:val="single" w:color="auto" w:sz="4" w:space="0"/>
              <w:bottom w:val="single" w:color="auto" w:sz="4" w:space="0"/>
            </w:tcBorders>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所在县（市、区）</w:t>
            </w:r>
            <w:r>
              <w:rPr>
                <w:rFonts w:hint="eastAsia" w:ascii="Times New Roman" w:hAnsi="Times New Roman" w:eastAsia="仿宋_GB2312" w:cs="Times New Roman"/>
                <w:i w:val="0"/>
                <w:caps w:val="0"/>
                <w:color w:val="auto"/>
                <w:spacing w:val="0"/>
                <w:sz w:val="28"/>
                <w:szCs w:val="28"/>
                <w:shd w:val="clear" w:color="auto" w:fill="FFFFFF"/>
                <w:vertAlign w:val="baseline"/>
                <w:lang w:val="en-US" w:eastAsia="zh-CN"/>
              </w:rPr>
              <w:t>：　　　　　　</w:t>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 xml:space="preserve"> </w:t>
            </w:r>
          </w:p>
        </w:tc>
        <w:tc>
          <w:tcPr>
            <w:tcW w:w="4851" w:type="dxa"/>
            <w:tcBorders>
              <w:top w:val="single" w:color="auto" w:sz="4" w:space="0"/>
              <w:bottom w:val="single" w:color="auto" w:sz="4" w:space="0"/>
            </w:tcBorders>
            <w:vAlign w:val="top"/>
          </w:tcPr>
          <w:p>
            <w:pPr>
              <w:keepNext w:val="0"/>
              <w:keepLines w:val="0"/>
              <w:pageBreakBefore w:val="0"/>
              <w:widowControl w:val="0"/>
              <w:kinsoku/>
              <w:topLinePunct w:val="0"/>
              <w:bidi w:val="0"/>
              <w:ind w:firstLine="280" w:firstLineChars="10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城市</w:t>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sym w:font="Wingdings" w:char="00A8"/>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 xml:space="preserve">   </w:t>
            </w:r>
            <w:r>
              <w:rPr>
                <w:rFonts w:hint="eastAsia" w:ascii="Times New Roman" w:hAnsi="Times New Roman" w:eastAsia="仿宋_GB2312" w:cs="Times New Roman"/>
                <w:i w:val="0"/>
                <w:caps w:val="0"/>
                <w:color w:val="auto"/>
                <w:spacing w:val="0"/>
                <w:sz w:val="28"/>
                <w:szCs w:val="28"/>
                <w:shd w:val="clear" w:color="auto" w:fill="FFFFFF"/>
                <w:vertAlign w:val="baseline"/>
                <w:lang w:val="en-US" w:eastAsia="zh-CN"/>
              </w:rPr>
              <w:t>乡镇</w:t>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sym w:font="Wingdings" w:char="00A8"/>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 xml:space="preserve">    农村</w:t>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sym w:font="Wingdings" w:char="00A8"/>
            </w: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569"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联系人：</w:t>
            </w:r>
          </w:p>
        </w:tc>
        <w:tc>
          <w:tcPr>
            <w:tcW w:w="4855"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569"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手机：</w:t>
            </w:r>
          </w:p>
        </w:tc>
        <w:tc>
          <w:tcPr>
            <w:tcW w:w="4855"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8" w:hRule="atLeast"/>
          <w:jc w:val="center"/>
        </w:trPr>
        <w:tc>
          <w:tcPr>
            <w:tcW w:w="1483" w:type="dxa"/>
            <w:vMerge w:val="restart"/>
            <w:tcBorders>
              <w:top w:val="single" w:color="auto" w:sz="4" w:space="0"/>
            </w:tcBorders>
            <w:vAlign w:val="center"/>
          </w:tcPr>
          <w:p>
            <w:pPr>
              <w:keepNext w:val="0"/>
              <w:keepLines w:val="0"/>
              <w:pageBreakBefore w:val="0"/>
              <w:widowControl w:val="0"/>
              <w:kinsoku/>
              <w:topLinePunct w:val="0"/>
              <w:bidi w:val="0"/>
              <w:jc w:val="cente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基本</w:t>
            </w:r>
          </w:p>
          <w:p>
            <w:pPr>
              <w:keepNext w:val="0"/>
              <w:keepLines w:val="0"/>
              <w:pageBreakBefore w:val="0"/>
              <w:widowControl w:val="0"/>
              <w:kinsoku/>
              <w:topLinePunct w:val="0"/>
              <w:bidi w:val="0"/>
              <w:jc w:val="cente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t>概况</w:t>
            </w:r>
          </w:p>
        </w:tc>
        <w:tc>
          <w:tcPr>
            <w:tcW w:w="7941" w:type="dxa"/>
            <w:gridSpan w:val="3"/>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性质：公办园</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普惠性民办园</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非普惠性民办园</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p>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公办小学</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民办小学</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83" w:type="dxa"/>
            <w:vMerge w:val="continue"/>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tc>
        <w:tc>
          <w:tcPr>
            <w:tcW w:w="7941" w:type="dxa"/>
            <w:gridSpan w:val="3"/>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学生</w:t>
            </w:r>
            <w:r>
              <w:rPr>
                <w:rFonts w:hint="eastAsia" w:ascii="仿宋_GB2312" w:hAnsi="仿宋_GB2312" w:eastAsia="仿宋_GB2312" w:cs="仿宋_GB2312"/>
                <w:i w:val="0"/>
                <w:caps w:val="0"/>
                <w:color w:val="auto"/>
                <w:spacing w:val="0"/>
                <w:sz w:val="28"/>
                <w:szCs w:val="28"/>
                <w:u w:val="single"/>
                <w:shd w:val="clear" w:color="auto" w:fill="FFFFFF"/>
                <w:vertAlign w:val="baseline"/>
                <w:lang w:val="en-US" w:eastAsia="zh-CN"/>
              </w:rPr>
              <w:t xml:space="preserve">    </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人，</w:t>
            </w:r>
            <w:r>
              <w:rPr>
                <w:rFonts w:hint="eastAsia" w:ascii="仿宋_GB2312" w:hAnsi="仿宋_GB2312" w:eastAsia="仿宋_GB2312" w:cs="仿宋_GB2312"/>
                <w:i w:val="0"/>
                <w:caps w:val="0"/>
                <w:color w:val="auto"/>
                <w:spacing w:val="0"/>
                <w:sz w:val="28"/>
                <w:szCs w:val="28"/>
                <w:u w:val="single"/>
                <w:shd w:val="clear" w:color="auto" w:fill="FFFFFF"/>
                <w:vertAlign w:val="baseline"/>
                <w:lang w:val="en-US" w:eastAsia="zh-CN"/>
              </w:rPr>
              <w:t xml:space="preserve">    </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个教学班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4" w:hRule="atLeast"/>
          <w:jc w:val="center"/>
        </w:trPr>
        <w:tc>
          <w:tcPr>
            <w:tcW w:w="1483" w:type="dxa"/>
            <w:vAlign w:val="top"/>
          </w:tcPr>
          <w:p>
            <w:pPr>
              <w:keepNext w:val="0"/>
              <w:keepLines w:val="0"/>
              <w:pageBreakBefore w:val="0"/>
              <w:widowControl w:val="0"/>
              <w:kinsoku/>
              <w:topLinePunct w:val="0"/>
              <w:bidi w:val="0"/>
              <w:jc w:val="both"/>
              <w:rPr>
                <w:rFonts w:hint="default" w:ascii="Times New Roman" w:hAnsi="Times New Roman" w:eastAsia="仿宋_GB2312" w:cs="Times New Roman"/>
                <w:color w:val="auto"/>
                <w:sz w:val="28"/>
                <w:szCs w:val="28"/>
                <w:shd w:val="clear" w:color="auto" w:fill="FFFFFF"/>
                <w:lang w:val="en-US" w:eastAsia="zh-CN"/>
              </w:rPr>
            </w:pP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工</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作</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方</w:t>
            </w:r>
          </w:p>
          <w:p>
            <w:pPr>
              <w:keepNext w:val="0"/>
              <w:keepLines w:val="0"/>
              <w:pageBreakBefore w:val="0"/>
              <w:widowControl w:val="0"/>
              <w:kinsoku/>
              <w:topLinePunct w:val="0"/>
              <w:bidi w:val="0"/>
              <w:jc w:val="cente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color w:val="auto"/>
                <w:sz w:val="28"/>
                <w:szCs w:val="28"/>
                <w:shd w:val="clear" w:color="auto" w:fill="FFFFFF"/>
                <w:lang w:val="en-US" w:eastAsia="zh-CN"/>
              </w:rPr>
              <w:t>案</w:t>
            </w:r>
          </w:p>
        </w:tc>
        <w:tc>
          <w:tcPr>
            <w:tcW w:w="7941" w:type="dxa"/>
            <w:gridSpan w:val="3"/>
            <w:vAlign w:val="top"/>
          </w:tcPr>
          <w:p>
            <w:pPr>
              <w:keepNext w:val="0"/>
              <w:keepLines w:val="0"/>
              <w:pageBreakBefore w:val="0"/>
              <w:widowControl w:val="0"/>
              <w:kinsoku/>
              <w:topLinePunct w:val="0"/>
              <w:bidi w:val="0"/>
              <w:rPr>
                <w:rFonts w:hint="eastAsia" w:ascii="仿宋_GB2312" w:hAnsi="仿宋_GB2312" w:eastAsia="仿宋_GB2312" w:cs="仿宋_GB2312"/>
                <w:sz w:val="28"/>
                <w:szCs w:val="28"/>
                <w:shd w:val="clear" w:color="auto" w:fill="FFFFFF"/>
                <w:lang w:val="en-US" w:eastAsia="zh-CN"/>
              </w:rPr>
            </w:pPr>
            <w:r>
              <w:rPr>
                <w:rFonts w:hint="eastAsia" w:ascii="仿宋_GB2312" w:hAnsi="仿宋_GB2312" w:eastAsia="仿宋_GB2312" w:cs="仿宋_GB2312"/>
                <w:sz w:val="28"/>
                <w:szCs w:val="28"/>
                <w:shd w:val="clear" w:color="auto" w:fill="FFFFFF"/>
                <w:lang w:val="en-US" w:eastAsia="zh-CN"/>
              </w:rPr>
              <w:t>包括但不限于已有基础、预期目标、重点任务、主要措施、相关保障等（1500字以内）：</w:t>
            </w: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1483" w:type="dxa"/>
            <w:vAlign w:val="center"/>
          </w:tcPr>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工</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作</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方</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案</w:t>
            </w:r>
          </w:p>
        </w:tc>
        <w:tc>
          <w:tcPr>
            <w:tcW w:w="7941" w:type="dxa"/>
            <w:gridSpan w:val="3"/>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5" w:hRule="atLeast"/>
          <w:jc w:val="center"/>
        </w:trPr>
        <w:tc>
          <w:tcPr>
            <w:tcW w:w="1483" w:type="dxa"/>
            <w:vAlign w:val="center"/>
          </w:tcPr>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eastAsia="zh-CN"/>
              </w:rPr>
              <w:t>县</w:t>
            </w:r>
            <w:r>
              <w:rPr>
                <w:rFonts w:hint="eastAsia" w:ascii="仿宋_GB2312" w:hAnsi="仿宋_GB2312" w:eastAsia="仿宋_GB2312" w:cs="仿宋_GB2312"/>
                <w:sz w:val="28"/>
                <w:szCs w:val="36"/>
                <w:lang w:val="en-US" w:eastAsia="zh-CN"/>
              </w:rPr>
              <w:t>(市、区)</w:t>
            </w:r>
            <w:r>
              <w:rPr>
                <w:rFonts w:hint="eastAsia" w:ascii="仿宋_GB2312" w:hAnsi="仿宋_GB2312" w:eastAsia="仿宋_GB2312" w:cs="仿宋_GB2312"/>
                <w:sz w:val="28"/>
                <w:szCs w:val="36"/>
              </w:rPr>
              <w:t>教育局</w:t>
            </w:r>
          </w:p>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推</w:t>
            </w:r>
            <w:r>
              <w:rPr>
                <w:rFonts w:hint="eastAsia" w:ascii="仿宋_GB2312" w:hAnsi="仿宋_GB2312" w:eastAsia="仿宋_GB2312" w:cs="仿宋_GB2312"/>
                <w:sz w:val="28"/>
                <w:szCs w:val="36"/>
                <w:lang w:val="en-US" w:eastAsia="zh-CN"/>
              </w:rPr>
              <w:t xml:space="preserve">  </w:t>
            </w:r>
            <w:r>
              <w:rPr>
                <w:rFonts w:hint="eastAsia" w:ascii="仿宋_GB2312" w:hAnsi="仿宋_GB2312" w:eastAsia="仿宋_GB2312" w:cs="仿宋_GB2312"/>
                <w:sz w:val="28"/>
                <w:szCs w:val="36"/>
              </w:rPr>
              <w:t>荐</w:t>
            </w:r>
          </w:p>
          <w:p>
            <w:pPr>
              <w:keepNext w:val="0"/>
              <w:keepLines w:val="0"/>
              <w:pageBreakBefore w:val="0"/>
              <w:widowControl w:val="0"/>
              <w:kinsoku/>
              <w:topLinePunct w:val="0"/>
              <w:bidi w:val="0"/>
              <w:spacing w:line="400" w:lineRule="exact"/>
              <w:jc w:val="cente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sz w:val="28"/>
                <w:szCs w:val="36"/>
              </w:rPr>
              <w:t>意</w:t>
            </w:r>
            <w:r>
              <w:rPr>
                <w:rFonts w:hint="eastAsia" w:ascii="仿宋_GB2312" w:hAnsi="仿宋_GB2312" w:eastAsia="仿宋_GB2312" w:cs="仿宋_GB2312"/>
                <w:sz w:val="28"/>
                <w:szCs w:val="36"/>
                <w:lang w:val="en-US" w:eastAsia="zh-CN"/>
              </w:rPr>
              <w:t xml:space="preserve">  </w:t>
            </w:r>
            <w:r>
              <w:rPr>
                <w:rFonts w:hint="eastAsia" w:ascii="仿宋_GB2312" w:hAnsi="仿宋_GB2312" w:eastAsia="仿宋_GB2312" w:cs="仿宋_GB2312"/>
                <w:sz w:val="28"/>
                <w:szCs w:val="36"/>
              </w:rPr>
              <w:t>见</w:t>
            </w:r>
          </w:p>
        </w:tc>
        <w:tc>
          <w:tcPr>
            <w:tcW w:w="7941" w:type="dxa"/>
            <w:gridSpan w:val="3"/>
            <w:vAlign w:val="center"/>
          </w:tcPr>
          <w:p>
            <w:pPr>
              <w:keepNext w:val="0"/>
              <w:keepLines w:val="0"/>
              <w:pageBreakBefore w:val="0"/>
              <w:widowControl w:val="0"/>
              <w:kinsoku/>
              <w:wordWrap/>
              <w:overflowPunct/>
              <w:topLinePunct w:val="0"/>
              <w:bidi w:val="0"/>
              <w:snapToGrid/>
              <w:spacing w:line="400" w:lineRule="exact"/>
              <w:ind w:firstLine="4200" w:firstLineChars="1400"/>
              <w:textAlignment w:val="auto"/>
              <w:rPr>
                <w:rFonts w:hint="eastAsia" w:ascii="Times New Roman" w:hAnsi="Times New Roman" w:eastAsia="华文仿宋" w:cs="Times New Roman"/>
                <w:sz w:val="30"/>
                <w:szCs w:val="30"/>
                <w:lang w:eastAsia="zh-CN"/>
              </w:rPr>
            </w:pPr>
          </w:p>
          <w:p>
            <w:pPr>
              <w:keepNext w:val="0"/>
              <w:keepLines w:val="0"/>
              <w:pageBreakBefore w:val="0"/>
              <w:widowControl w:val="0"/>
              <w:kinsoku/>
              <w:wordWrap/>
              <w:overflowPunct/>
              <w:topLinePunct w:val="0"/>
              <w:bidi w:val="0"/>
              <w:snapToGrid/>
              <w:spacing w:line="400" w:lineRule="exact"/>
              <w:textAlignment w:val="auto"/>
              <w:rPr>
                <w:rFonts w:hint="eastAsia" w:ascii="Times New Roman" w:hAnsi="Times New Roman" w:eastAsia="华文仿宋" w:cs="Times New Roman"/>
                <w:sz w:val="30"/>
                <w:szCs w:val="30"/>
                <w:lang w:eastAsia="zh-CN"/>
              </w:rPr>
            </w:pPr>
          </w:p>
          <w:p>
            <w:pPr>
              <w:keepNext w:val="0"/>
              <w:keepLines w:val="0"/>
              <w:pageBreakBefore w:val="0"/>
              <w:widowControl w:val="0"/>
              <w:kinsoku/>
              <w:wordWrap/>
              <w:overflowPunct/>
              <w:topLinePunct w:val="0"/>
              <w:bidi w:val="0"/>
              <w:snapToGrid/>
              <w:spacing w:line="400" w:lineRule="exact"/>
              <w:ind w:firstLine="4200" w:firstLineChars="1400"/>
              <w:textAlignment w:val="auto"/>
              <w:rPr>
                <w:rFonts w:hint="eastAsia" w:ascii="Times New Roman" w:hAnsi="Times New Roman" w:eastAsia="华文仿宋" w:cs="Times New Roman"/>
                <w:sz w:val="30"/>
                <w:szCs w:val="30"/>
                <w:lang w:eastAsia="zh-CN"/>
              </w:rPr>
            </w:pPr>
          </w:p>
          <w:p>
            <w:pPr>
              <w:keepNext w:val="0"/>
              <w:keepLines w:val="0"/>
              <w:pageBreakBefore w:val="0"/>
              <w:widowControl w:val="0"/>
              <w:kinsoku/>
              <w:wordWrap/>
              <w:overflowPunct/>
              <w:topLinePunct w:val="0"/>
              <w:bidi w:val="0"/>
              <w:snapToGrid/>
              <w:spacing w:line="400" w:lineRule="exact"/>
              <w:ind w:firstLine="4200" w:firstLineChars="14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单位（盖</w:t>
            </w:r>
            <w:r>
              <w:rPr>
                <w:rFonts w:hint="eastAsia" w:ascii="仿宋_GB2312" w:hAnsi="仿宋_GB2312" w:eastAsia="仿宋_GB2312" w:cs="仿宋_GB2312"/>
                <w:sz w:val="30"/>
                <w:szCs w:val="30"/>
              </w:rPr>
              <w:t>章</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 xml:space="preserve">：               </w:t>
            </w:r>
          </w:p>
          <w:p>
            <w:pPr>
              <w:keepNext w:val="0"/>
              <w:keepLines w:val="0"/>
              <w:pageBreakBefore w:val="0"/>
              <w:widowControl w:val="0"/>
              <w:kinsoku/>
              <w:wordWrap/>
              <w:overflowPunct/>
              <w:topLinePunct w:val="0"/>
              <w:bidi w:val="0"/>
              <w:snapToGrid/>
              <w:spacing w:line="400" w:lineRule="exact"/>
              <w:ind w:firstLine="4800" w:firstLineChars="1600"/>
              <w:textAlignment w:val="auto"/>
              <w:rPr>
                <w:rFonts w:hint="default" w:ascii="Times New Roman" w:hAnsi="Times New Roman" w:eastAsia="仿宋" w:cs="Times New Roman"/>
                <w:sz w:val="28"/>
                <w:szCs w:val="28"/>
                <w:shd w:val="clear" w:color="auto" w:fill="FFFFFF"/>
                <w:lang w:val="en-US" w:eastAsia="zh-CN"/>
              </w:rPr>
            </w:pPr>
            <w:r>
              <w:rPr>
                <w:rFonts w:hint="eastAsia" w:ascii="仿宋_GB2312" w:hAnsi="仿宋_GB2312" w:eastAsia="仿宋_GB2312" w:cs="仿宋_GB2312"/>
                <w:sz w:val="30"/>
                <w:szCs w:val="30"/>
                <w:lang w:eastAsia="zh-CN"/>
              </w:rPr>
              <w:t>年</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月</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5" w:hRule="atLeast"/>
          <w:jc w:val="center"/>
        </w:trPr>
        <w:tc>
          <w:tcPr>
            <w:tcW w:w="1483" w:type="dxa"/>
            <w:vAlign w:val="center"/>
          </w:tcPr>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设区市</w:t>
            </w:r>
          </w:p>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教育局</w:t>
            </w:r>
          </w:p>
          <w:p>
            <w:pPr>
              <w:keepNext w:val="0"/>
              <w:keepLines w:val="0"/>
              <w:pageBreakBefore w:val="0"/>
              <w:widowControl w:val="0"/>
              <w:kinsoku/>
              <w:topLinePunct w:val="0"/>
              <w:bidi w:val="0"/>
              <w:spacing w:line="400" w:lineRule="exact"/>
              <w:jc w:val="cente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推</w:t>
            </w:r>
            <w:r>
              <w:rPr>
                <w:rFonts w:hint="eastAsia" w:ascii="仿宋_GB2312" w:hAnsi="仿宋_GB2312" w:eastAsia="仿宋_GB2312" w:cs="仿宋_GB2312"/>
                <w:sz w:val="28"/>
                <w:szCs w:val="36"/>
                <w:lang w:val="en-US" w:eastAsia="zh-CN"/>
              </w:rPr>
              <w:t xml:space="preserve">  </w:t>
            </w:r>
            <w:r>
              <w:rPr>
                <w:rFonts w:hint="eastAsia" w:ascii="仿宋_GB2312" w:hAnsi="仿宋_GB2312" w:eastAsia="仿宋_GB2312" w:cs="仿宋_GB2312"/>
                <w:sz w:val="28"/>
                <w:szCs w:val="36"/>
              </w:rPr>
              <w:t>荐</w:t>
            </w:r>
          </w:p>
          <w:p>
            <w:pPr>
              <w:keepNext w:val="0"/>
              <w:keepLines w:val="0"/>
              <w:pageBreakBefore w:val="0"/>
              <w:widowControl w:val="0"/>
              <w:kinsoku/>
              <w:topLinePunct w:val="0"/>
              <w:bidi w:val="0"/>
              <w:spacing w:line="400" w:lineRule="exact"/>
              <w:jc w:val="cente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sz w:val="28"/>
                <w:szCs w:val="36"/>
              </w:rPr>
              <w:t>意</w:t>
            </w:r>
            <w:r>
              <w:rPr>
                <w:rFonts w:hint="eastAsia" w:ascii="仿宋_GB2312" w:hAnsi="仿宋_GB2312" w:eastAsia="仿宋_GB2312" w:cs="仿宋_GB2312"/>
                <w:sz w:val="28"/>
                <w:szCs w:val="36"/>
                <w:lang w:val="en-US" w:eastAsia="zh-CN"/>
              </w:rPr>
              <w:t xml:space="preserve">  </w:t>
            </w:r>
            <w:r>
              <w:rPr>
                <w:rFonts w:hint="eastAsia" w:ascii="仿宋_GB2312" w:hAnsi="仿宋_GB2312" w:eastAsia="仿宋_GB2312" w:cs="仿宋_GB2312"/>
                <w:sz w:val="28"/>
                <w:szCs w:val="36"/>
              </w:rPr>
              <w:t>见</w:t>
            </w:r>
          </w:p>
        </w:tc>
        <w:tc>
          <w:tcPr>
            <w:tcW w:w="7941" w:type="dxa"/>
            <w:gridSpan w:val="3"/>
            <w:vAlign w:val="center"/>
          </w:tcPr>
          <w:p>
            <w:pPr>
              <w:keepNext w:val="0"/>
              <w:keepLines w:val="0"/>
              <w:pageBreakBefore w:val="0"/>
              <w:widowControl w:val="0"/>
              <w:kinsoku/>
              <w:wordWrap/>
              <w:overflowPunct/>
              <w:topLinePunct w:val="0"/>
              <w:bidi w:val="0"/>
              <w:snapToGrid/>
              <w:spacing w:line="400" w:lineRule="exact"/>
              <w:ind w:firstLine="4200" w:firstLineChars="1400"/>
              <w:textAlignment w:val="auto"/>
              <w:rPr>
                <w:rFonts w:hint="eastAsia" w:ascii="Times New Roman" w:hAnsi="Times New Roman" w:eastAsia="华文仿宋" w:cs="Times New Roman"/>
                <w:sz w:val="30"/>
                <w:szCs w:val="30"/>
                <w:lang w:eastAsia="zh-CN"/>
              </w:rPr>
            </w:pPr>
          </w:p>
          <w:p>
            <w:pPr>
              <w:keepNext w:val="0"/>
              <w:keepLines w:val="0"/>
              <w:pageBreakBefore w:val="0"/>
              <w:widowControl w:val="0"/>
              <w:kinsoku/>
              <w:wordWrap/>
              <w:overflowPunct/>
              <w:topLinePunct w:val="0"/>
              <w:bidi w:val="0"/>
              <w:snapToGrid/>
              <w:spacing w:line="400" w:lineRule="exact"/>
              <w:ind w:firstLine="4200" w:firstLineChars="1400"/>
              <w:textAlignment w:val="auto"/>
              <w:rPr>
                <w:rFonts w:hint="eastAsia" w:ascii="Times New Roman" w:hAnsi="Times New Roman" w:eastAsia="华文仿宋" w:cs="Times New Roman"/>
                <w:sz w:val="30"/>
                <w:szCs w:val="30"/>
                <w:lang w:eastAsia="zh-CN"/>
              </w:rPr>
            </w:pPr>
          </w:p>
          <w:p>
            <w:pPr>
              <w:keepNext w:val="0"/>
              <w:keepLines w:val="0"/>
              <w:pageBreakBefore w:val="0"/>
              <w:widowControl w:val="0"/>
              <w:kinsoku/>
              <w:wordWrap/>
              <w:overflowPunct/>
              <w:topLinePunct w:val="0"/>
              <w:bidi w:val="0"/>
              <w:snapToGrid/>
              <w:spacing w:line="400" w:lineRule="exact"/>
              <w:ind w:firstLine="4200" w:firstLineChars="1400"/>
              <w:textAlignment w:val="auto"/>
              <w:rPr>
                <w:rFonts w:hint="eastAsia" w:ascii="Times New Roman" w:hAnsi="Times New Roman" w:eastAsia="华文仿宋" w:cs="Times New Roman"/>
                <w:sz w:val="30"/>
                <w:szCs w:val="30"/>
                <w:lang w:eastAsia="zh-CN"/>
              </w:rPr>
            </w:pPr>
          </w:p>
          <w:p>
            <w:pPr>
              <w:keepNext w:val="0"/>
              <w:keepLines w:val="0"/>
              <w:pageBreakBefore w:val="0"/>
              <w:widowControl w:val="0"/>
              <w:kinsoku/>
              <w:wordWrap/>
              <w:overflowPunct/>
              <w:topLinePunct w:val="0"/>
              <w:bidi w:val="0"/>
              <w:snapToGrid/>
              <w:spacing w:line="400" w:lineRule="exact"/>
              <w:ind w:firstLine="4200" w:firstLineChars="14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单位（盖</w:t>
            </w:r>
            <w:r>
              <w:rPr>
                <w:rFonts w:hint="eastAsia" w:ascii="仿宋_GB2312" w:hAnsi="仿宋_GB2312" w:eastAsia="仿宋_GB2312" w:cs="仿宋_GB2312"/>
                <w:sz w:val="30"/>
                <w:szCs w:val="30"/>
              </w:rPr>
              <w:t>章</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 xml:space="preserve">：               </w:t>
            </w:r>
          </w:p>
          <w:p>
            <w:pPr>
              <w:keepNext w:val="0"/>
              <w:keepLines w:val="0"/>
              <w:pageBreakBefore w:val="0"/>
              <w:widowControl w:val="0"/>
              <w:kinsoku/>
              <w:wordWrap/>
              <w:overflowPunct/>
              <w:topLinePunct w:val="0"/>
              <w:bidi w:val="0"/>
              <w:snapToGrid/>
              <w:spacing w:line="400" w:lineRule="exact"/>
              <w:ind w:firstLine="4800" w:firstLineChars="1600"/>
              <w:textAlignment w:val="auto"/>
              <w:rPr>
                <w:rFonts w:hint="default" w:ascii="Times New Roman" w:hAnsi="Times New Roman" w:eastAsia="仿宋" w:cs="Times New Roman"/>
                <w:sz w:val="28"/>
                <w:szCs w:val="28"/>
                <w:shd w:val="clear" w:color="auto" w:fill="FFFFFF"/>
                <w:lang w:val="en-US" w:eastAsia="zh-CN"/>
              </w:rPr>
            </w:pPr>
            <w:r>
              <w:rPr>
                <w:rFonts w:hint="eastAsia" w:ascii="仿宋_GB2312" w:hAnsi="仿宋_GB2312" w:eastAsia="仿宋_GB2312" w:cs="仿宋_GB2312"/>
                <w:sz w:val="30"/>
                <w:szCs w:val="30"/>
                <w:lang w:eastAsia="zh-CN"/>
              </w:rPr>
              <w:t>年</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月</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日</w:t>
            </w:r>
          </w:p>
        </w:tc>
      </w:tr>
    </w:tbl>
    <w:p>
      <w:pPr>
        <w:keepNext w:val="0"/>
        <w:keepLines w:val="0"/>
        <w:pageBreakBefore w:val="0"/>
        <w:widowControl w:val="0"/>
        <w:kinsoku/>
        <w:topLinePunct w:val="0"/>
        <w:bidi w:val="0"/>
        <w:jc w:val="both"/>
        <w:rPr>
          <w:rFonts w:hint="default" w:ascii="Times New Roman" w:hAnsi="Times New Roman" w:eastAsia="楷体" w:cs="Times New Roman"/>
          <w:sz w:val="24"/>
          <w:szCs w:val="24"/>
          <w:highlight w:val="none"/>
          <w:lang w:val="en-US" w:eastAsia="zh-CN"/>
        </w:rPr>
      </w:pPr>
    </w:p>
    <w:p>
      <w:pPr>
        <w:pStyle w:val="14"/>
        <w:keepNext w:val="0"/>
        <w:keepLines w:val="0"/>
        <w:pageBreakBefore w:val="0"/>
        <w:widowControl w:val="0"/>
        <w:kinsoku/>
        <w:topLinePunct w:val="0"/>
        <w:bidi w:val="0"/>
      </w:pPr>
    </w:p>
    <w:p>
      <w:pPr>
        <w:keepNext w:val="0"/>
        <w:keepLines w:val="0"/>
        <w:pageBreakBefore w:val="0"/>
        <w:widowControl w:val="0"/>
        <w:kinsoku/>
        <w:topLinePunct w:val="0"/>
        <w:bidi w:val="0"/>
        <w:rPr>
          <w:rFonts w:hint="default" w:ascii="Times New Roman" w:hAnsi="Times New Roman" w:eastAsia="方正小标宋简体" w:cs="Times New Roman"/>
          <w:sz w:val="44"/>
          <w:szCs w:val="44"/>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keepNext w:val="0"/>
        <w:keepLines w:val="0"/>
        <w:pageBreakBefore w:val="0"/>
        <w:widowControl w:val="0"/>
        <w:kinsoku/>
        <w:topLinePunct w:val="0"/>
        <w:bidi w:val="0"/>
        <w:spacing w:line="580" w:lineRule="exact"/>
        <w:jc w:val="center"/>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eastAsia="zh-CN"/>
        </w:rPr>
        <w:t>福建</w:t>
      </w:r>
      <w:r>
        <w:rPr>
          <w:rFonts w:hint="default" w:ascii="Times New Roman" w:hAnsi="Times New Roman" w:eastAsia="方正小标宋简体" w:cs="Times New Roman"/>
          <w:sz w:val="44"/>
          <w:szCs w:val="44"/>
        </w:rPr>
        <w:t>省幼小衔接</w:t>
      </w:r>
      <w:r>
        <w:rPr>
          <w:rFonts w:hint="eastAsia" w:ascii="Times New Roman" w:hAnsi="Times New Roman" w:eastAsia="方正小标宋简体" w:cs="Times New Roman"/>
          <w:sz w:val="44"/>
          <w:szCs w:val="44"/>
          <w:lang w:eastAsia="zh-CN"/>
        </w:rPr>
        <w:t>试点校（园）</w:t>
      </w:r>
      <w:r>
        <w:rPr>
          <w:rFonts w:hint="default" w:ascii="Times New Roman" w:hAnsi="Times New Roman" w:eastAsia="方正小标宋简体" w:cs="Times New Roman"/>
          <w:sz w:val="44"/>
          <w:szCs w:val="44"/>
          <w:lang w:val="en-US" w:eastAsia="zh-CN"/>
        </w:rPr>
        <w:t>申报</w:t>
      </w:r>
      <w:r>
        <w:rPr>
          <w:rFonts w:hint="default" w:ascii="Times New Roman" w:hAnsi="Times New Roman" w:eastAsia="方正小标宋简体" w:cs="Times New Roman"/>
          <w:sz w:val="44"/>
          <w:szCs w:val="44"/>
        </w:rPr>
        <w:t>表</w:t>
      </w:r>
    </w:p>
    <w:p>
      <w:pPr>
        <w:keepNext w:val="0"/>
        <w:keepLines w:val="0"/>
        <w:pageBreakBefore w:val="0"/>
        <w:widowControl w:val="0"/>
        <w:kinsoku/>
        <w:topLinePunct w:val="0"/>
        <w:bidi w:val="0"/>
        <w:jc w:val="center"/>
        <w:rPr>
          <w:rFonts w:hint="eastAsia" w:ascii="楷体_GB2312" w:hAnsi="楷体_GB2312" w:eastAsia="楷体_GB2312" w:cs="楷体_GB2312"/>
          <w:i w:val="0"/>
          <w:caps w:val="0"/>
          <w:color w:val="auto"/>
          <w:spacing w:val="0"/>
          <w:sz w:val="32"/>
          <w:szCs w:val="32"/>
          <w:shd w:val="clear" w:color="auto" w:fill="FFFFFF"/>
          <w:vertAlign w:val="baseline"/>
          <w:lang w:val="en-US" w:eastAsia="zh-CN"/>
        </w:rPr>
      </w:pPr>
      <w:r>
        <w:rPr>
          <w:rFonts w:hint="eastAsia" w:ascii="楷体_GB2312" w:hAnsi="楷体_GB2312" w:eastAsia="楷体_GB2312" w:cs="楷体_GB2312"/>
          <w:i w:val="0"/>
          <w:caps w:val="0"/>
          <w:color w:val="auto"/>
          <w:spacing w:val="0"/>
          <w:sz w:val="32"/>
          <w:szCs w:val="32"/>
          <w:shd w:val="clear" w:color="auto" w:fill="FFFFFF"/>
          <w:vertAlign w:val="baseline"/>
          <w:lang w:val="en-US" w:eastAsia="zh-CN"/>
        </w:rPr>
        <w:t>（省属学校）</w:t>
      </w:r>
    </w:p>
    <w:p>
      <w:pPr>
        <w:keepNext w:val="0"/>
        <w:keepLines w:val="0"/>
        <w:pageBreakBefore w:val="0"/>
        <w:widowControl w:val="0"/>
        <w:kinsoku/>
        <w:topLinePunct w:val="0"/>
        <w:bidi w:val="0"/>
      </w:pPr>
    </w:p>
    <w:tbl>
      <w:tblPr>
        <w:tblStyle w:val="8"/>
        <w:tblW w:w="91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3147"/>
        <w:gridCol w:w="4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184" w:type="dxa"/>
            <w:gridSpan w:val="3"/>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幼儿园（学校）名称：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184" w:type="dxa"/>
            <w:gridSpan w:val="3"/>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结对幼儿园（学校）名称：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220"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所在县（市、区）：　　　　　　 </w:t>
            </w:r>
          </w:p>
        </w:tc>
        <w:tc>
          <w:tcPr>
            <w:tcW w:w="4964" w:type="dxa"/>
            <w:tcBorders>
              <w:top w:val="single" w:color="auto" w:sz="4" w:space="0"/>
              <w:bottom w:val="single" w:color="auto" w:sz="4" w:space="0"/>
            </w:tcBorders>
            <w:vAlign w:val="top"/>
          </w:tcPr>
          <w:p>
            <w:pPr>
              <w:keepNext w:val="0"/>
              <w:keepLines w:val="0"/>
              <w:pageBreakBefore w:val="0"/>
              <w:widowControl w:val="0"/>
              <w:kinsoku/>
              <w:topLinePunct w:val="0"/>
              <w:bidi w:val="0"/>
              <w:ind w:firstLine="280" w:firstLineChars="10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城市</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乡镇</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农村</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220"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联系人：</w:t>
            </w:r>
          </w:p>
        </w:tc>
        <w:tc>
          <w:tcPr>
            <w:tcW w:w="4964" w:type="dxa"/>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4220"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手机：</w:t>
            </w:r>
          </w:p>
        </w:tc>
        <w:tc>
          <w:tcPr>
            <w:tcW w:w="4964" w:type="dxa"/>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3" w:hRule="atLeast"/>
          <w:jc w:val="center"/>
        </w:trPr>
        <w:tc>
          <w:tcPr>
            <w:tcW w:w="1073" w:type="dxa"/>
            <w:vMerge w:val="restart"/>
            <w:tcBorders>
              <w:top w:val="single" w:color="auto" w:sz="4" w:space="0"/>
            </w:tcBorders>
            <w:vAlign w:val="center"/>
          </w:tcPr>
          <w:p>
            <w:pPr>
              <w:keepNext w:val="0"/>
              <w:keepLines w:val="0"/>
              <w:pageBreakBefore w:val="0"/>
              <w:widowControl w:val="0"/>
              <w:kinsoku/>
              <w:topLinePunct w:val="0"/>
              <w:bidi w:val="0"/>
              <w:jc w:val="cente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基本</w:t>
            </w:r>
          </w:p>
          <w:p>
            <w:pPr>
              <w:keepNext w:val="0"/>
              <w:keepLines w:val="0"/>
              <w:pageBreakBefore w:val="0"/>
              <w:widowControl w:val="0"/>
              <w:kinsoku/>
              <w:topLinePunct w:val="0"/>
              <w:bidi w:val="0"/>
              <w:jc w:val="cente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概况</w:t>
            </w:r>
          </w:p>
        </w:tc>
        <w:tc>
          <w:tcPr>
            <w:tcW w:w="8111"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性质：公办园</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普惠性民办园</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非普惠性民办园</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p>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公办小学</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 xml:space="preserve">  民办小学</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073" w:type="dxa"/>
            <w:vMerge w:val="continue"/>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p>
        </w:tc>
        <w:tc>
          <w:tcPr>
            <w:tcW w:w="8111" w:type="dxa"/>
            <w:gridSpan w:val="2"/>
            <w:tcBorders>
              <w:top w:val="single" w:color="auto" w:sz="4" w:space="0"/>
              <w:bottom w:val="single" w:color="auto" w:sz="4" w:space="0"/>
            </w:tcBorders>
            <w:vAlign w:val="top"/>
          </w:tcPr>
          <w:p>
            <w:pPr>
              <w:keepNext w:val="0"/>
              <w:keepLines w:val="0"/>
              <w:pageBreakBefore w:val="0"/>
              <w:widowControl w:val="0"/>
              <w:kinsoku/>
              <w:topLinePunct w:val="0"/>
              <w:bidi w:val="0"/>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学生</w:t>
            </w:r>
            <w:r>
              <w:rPr>
                <w:rFonts w:hint="eastAsia" w:ascii="仿宋_GB2312" w:hAnsi="仿宋_GB2312" w:eastAsia="仿宋_GB2312" w:cs="仿宋_GB2312"/>
                <w:i w:val="0"/>
                <w:caps w:val="0"/>
                <w:color w:val="auto"/>
                <w:spacing w:val="0"/>
                <w:sz w:val="28"/>
                <w:szCs w:val="28"/>
                <w:u w:val="single"/>
                <w:shd w:val="clear" w:color="auto" w:fill="FFFFFF"/>
                <w:vertAlign w:val="baseline"/>
                <w:lang w:val="en-US" w:eastAsia="zh-CN"/>
              </w:rPr>
              <w:t xml:space="preserve">        </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人，</w:t>
            </w:r>
            <w:r>
              <w:rPr>
                <w:rFonts w:hint="eastAsia" w:ascii="仿宋_GB2312" w:hAnsi="仿宋_GB2312" w:eastAsia="仿宋_GB2312" w:cs="仿宋_GB2312"/>
                <w:i w:val="0"/>
                <w:caps w:val="0"/>
                <w:color w:val="auto"/>
                <w:spacing w:val="0"/>
                <w:sz w:val="28"/>
                <w:szCs w:val="28"/>
                <w:u w:val="single"/>
                <w:shd w:val="clear" w:color="auto" w:fill="FFFFFF"/>
                <w:vertAlign w:val="baseline"/>
                <w:lang w:val="en-US" w:eastAsia="zh-CN"/>
              </w:rPr>
              <w:t xml:space="preserve">       </w:t>
            </w:r>
            <w:r>
              <w:rPr>
                <w:rFonts w:hint="eastAsia" w:ascii="仿宋_GB2312" w:hAnsi="仿宋_GB2312" w:eastAsia="仿宋_GB2312" w:cs="仿宋_GB2312"/>
                <w:i w:val="0"/>
                <w:caps w:val="0"/>
                <w:color w:val="auto"/>
                <w:spacing w:val="0"/>
                <w:sz w:val="28"/>
                <w:szCs w:val="28"/>
                <w:shd w:val="clear" w:color="auto" w:fill="FFFFFF"/>
                <w:vertAlign w:val="baseline"/>
                <w:lang w:val="en-US" w:eastAsia="zh-CN"/>
              </w:rPr>
              <w:t>个教学班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4" w:hRule="atLeast"/>
          <w:jc w:val="center"/>
        </w:trPr>
        <w:tc>
          <w:tcPr>
            <w:tcW w:w="1073" w:type="dxa"/>
            <w:vAlign w:val="center"/>
          </w:tcPr>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工</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作</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方</w:t>
            </w:r>
          </w:p>
          <w:p>
            <w:pPr>
              <w:keepNext w:val="0"/>
              <w:keepLines w:val="0"/>
              <w:pageBreakBefore w:val="0"/>
              <w:widowControl w:val="0"/>
              <w:kinsoku/>
              <w:topLinePunct w:val="0"/>
              <w:bidi w:val="0"/>
              <w:jc w:val="cente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color w:val="auto"/>
                <w:sz w:val="28"/>
                <w:szCs w:val="28"/>
                <w:shd w:val="clear" w:color="auto" w:fill="FFFFFF"/>
                <w:lang w:val="en-US" w:eastAsia="zh-CN"/>
              </w:rPr>
              <w:t>案</w:t>
            </w:r>
          </w:p>
        </w:tc>
        <w:tc>
          <w:tcPr>
            <w:tcW w:w="8111" w:type="dxa"/>
            <w:gridSpan w:val="2"/>
            <w:vAlign w:val="top"/>
          </w:tcPr>
          <w:p>
            <w:pPr>
              <w:keepNext w:val="0"/>
              <w:keepLines w:val="0"/>
              <w:pageBreakBefore w:val="0"/>
              <w:widowControl w:val="0"/>
              <w:kinsoku/>
              <w:topLinePunct w:val="0"/>
              <w:bidi w:val="0"/>
              <w:rPr>
                <w:rFonts w:hint="eastAsia" w:ascii="仿宋_GB2312" w:hAnsi="仿宋_GB2312" w:eastAsia="仿宋_GB2312" w:cs="仿宋_GB2312"/>
                <w:sz w:val="28"/>
                <w:szCs w:val="28"/>
                <w:shd w:val="clear" w:color="auto" w:fill="FFFFFF"/>
                <w:lang w:val="en-US" w:eastAsia="zh-CN"/>
              </w:rPr>
            </w:pPr>
            <w:r>
              <w:rPr>
                <w:rFonts w:hint="eastAsia" w:ascii="仿宋_GB2312" w:hAnsi="仿宋_GB2312" w:eastAsia="仿宋_GB2312" w:cs="仿宋_GB2312"/>
                <w:sz w:val="28"/>
                <w:szCs w:val="28"/>
                <w:shd w:val="clear" w:color="auto" w:fill="FFFFFF"/>
                <w:lang w:val="en-US" w:eastAsia="zh-CN"/>
              </w:rPr>
              <w:t>包括但不限于已有基础、预期目标、重点任务、主要措施、相关保障等（1500字以内）：</w:t>
            </w: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7" w:hRule="atLeast"/>
          <w:jc w:val="center"/>
        </w:trPr>
        <w:tc>
          <w:tcPr>
            <w:tcW w:w="1073" w:type="dxa"/>
            <w:vAlign w:val="center"/>
          </w:tcPr>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工</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作</w:t>
            </w:r>
          </w:p>
          <w:p>
            <w:pPr>
              <w:keepNext w:val="0"/>
              <w:keepLines w:val="0"/>
              <w:pageBreakBefore w:val="0"/>
              <w:widowControl w:val="0"/>
              <w:kinsoku/>
              <w:topLinePunct w:val="0"/>
              <w:bidi w:val="0"/>
              <w:jc w:val="center"/>
              <w:rPr>
                <w:rFonts w:hint="default" w:ascii="Times New Roman" w:hAnsi="Times New Roman" w:eastAsia="仿宋_GB2312" w:cs="Times New Roman"/>
                <w:color w:val="auto"/>
                <w:sz w:val="28"/>
                <w:szCs w:val="28"/>
                <w:shd w:val="clear" w:color="auto" w:fill="FFFFFF"/>
                <w:lang w:val="en-US" w:eastAsia="zh-CN"/>
              </w:rPr>
            </w:pPr>
            <w:r>
              <w:rPr>
                <w:rFonts w:hint="default" w:ascii="Times New Roman" w:hAnsi="Times New Roman" w:eastAsia="仿宋_GB2312" w:cs="Times New Roman"/>
                <w:color w:val="auto"/>
                <w:sz w:val="28"/>
                <w:szCs w:val="28"/>
                <w:shd w:val="clear" w:color="auto" w:fill="FFFFFF"/>
                <w:lang w:val="en-US" w:eastAsia="zh-CN"/>
              </w:rPr>
              <w:t>方</w:t>
            </w:r>
          </w:p>
          <w:p>
            <w:pPr>
              <w:keepNext w:val="0"/>
              <w:keepLines w:val="0"/>
              <w:pageBreakBefore w:val="0"/>
              <w:widowControl w:val="0"/>
              <w:kinsoku/>
              <w:topLinePunct w:val="0"/>
              <w:bidi w:val="0"/>
              <w:jc w:val="center"/>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default" w:ascii="Times New Roman" w:hAnsi="Times New Roman" w:eastAsia="仿宋_GB2312" w:cs="Times New Roman"/>
                <w:color w:val="auto"/>
                <w:sz w:val="28"/>
                <w:szCs w:val="28"/>
                <w:shd w:val="clear" w:color="auto" w:fill="FFFFFF"/>
                <w:lang w:val="en-US" w:eastAsia="zh-CN"/>
              </w:rPr>
              <w:t>案</w:t>
            </w:r>
          </w:p>
        </w:tc>
        <w:tc>
          <w:tcPr>
            <w:tcW w:w="8111" w:type="dxa"/>
            <w:gridSpan w:val="2"/>
            <w:vAlign w:val="top"/>
          </w:tcPr>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5" w:hRule="atLeast"/>
          <w:jc w:val="center"/>
        </w:trPr>
        <w:tc>
          <w:tcPr>
            <w:tcW w:w="1073" w:type="dxa"/>
            <w:vAlign w:val="center"/>
          </w:tcPr>
          <w:p>
            <w:pPr>
              <w:keepNext w:val="0"/>
              <w:keepLines w:val="0"/>
              <w:pageBreakBefore w:val="0"/>
              <w:widowControl w:val="0"/>
              <w:kinsoku/>
              <w:wordWrap/>
              <w:overflowPunct/>
              <w:topLinePunct w:val="0"/>
              <w:bidi w:val="0"/>
              <w:snapToGrid/>
              <w:spacing w:line="400" w:lineRule="exact"/>
              <w:jc w:val="center"/>
              <w:textAlignment w:val="auto"/>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主办</w:t>
            </w:r>
          </w:p>
          <w:p>
            <w:pPr>
              <w:keepNext w:val="0"/>
              <w:keepLines w:val="0"/>
              <w:pageBreakBefore w:val="0"/>
              <w:widowControl w:val="0"/>
              <w:kinsoku/>
              <w:wordWrap/>
              <w:overflowPunct/>
              <w:topLinePunct w:val="0"/>
              <w:bidi w:val="0"/>
              <w:snapToGrid/>
              <w:spacing w:line="400" w:lineRule="exact"/>
              <w:jc w:val="center"/>
              <w:textAlignment w:val="auto"/>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单位</w:t>
            </w:r>
          </w:p>
          <w:p>
            <w:pPr>
              <w:keepNext w:val="0"/>
              <w:keepLines w:val="0"/>
              <w:pageBreakBefore w:val="0"/>
              <w:widowControl w:val="0"/>
              <w:kinsoku/>
              <w:wordWrap/>
              <w:overflowPunct/>
              <w:topLinePunct w:val="0"/>
              <w:bidi w:val="0"/>
              <w:snapToGrid/>
              <w:spacing w:line="400" w:lineRule="exact"/>
              <w:jc w:val="center"/>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推荐</w:t>
            </w:r>
          </w:p>
          <w:p>
            <w:pPr>
              <w:keepNext w:val="0"/>
              <w:keepLines w:val="0"/>
              <w:pageBreakBefore w:val="0"/>
              <w:widowControl w:val="0"/>
              <w:kinsoku/>
              <w:wordWrap/>
              <w:overflowPunct/>
              <w:topLinePunct w:val="0"/>
              <w:bidi w:val="0"/>
              <w:snapToGrid/>
              <w:spacing w:line="400" w:lineRule="exact"/>
              <w:jc w:val="center"/>
              <w:textAlignment w:val="auto"/>
              <w:rPr>
                <w:rFonts w:hint="default" w:ascii="Times New Roman" w:hAnsi="Times New Roman" w:eastAsia="仿宋_GB2312" w:cs="Times New Roman"/>
                <w:i w:val="0"/>
                <w:caps w:val="0"/>
                <w:color w:val="auto"/>
                <w:spacing w:val="0"/>
                <w:sz w:val="28"/>
                <w:szCs w:val="28"/>
                <w:shd w:val="clear" w:color="auto" w:fill="FFFFFF"/>
                <w:vertAlign w:val="baseline"/>
                <w:lang w:val="en-US" w:eastAsia="zh-CN"/>
              </w:rPr>
            </w:pPr>
            <w:r>
              <w:rPr>
                <w:rFonts w:hint="eastAsia" w:ascii="仿宋_GB2312" w:hAnsi="仿宋_GB2312" w:eastAsia="仿宋_GB2312" w:cs="仿宋_GB2312"/>
                <w:sz w:val="28"/>
                <w:szCs w:val="36"/>
              </w:rPr>
              <w:t>意见</w:t>
            </w:r>
          </w:p>
        </w:tc>
        <w:tc>
          <w:tcPr>
            <w:tcW w:w="8111" w:type="dxa"/>
            <w:gridSpan w:val="2"/>
            <w:vAlign w:val="center"/>
          </w:tcPr>
          <w:p>
            <w:pPr>
              <w:keepNext w:val="0"/>
              <w:keepLines w:val="0"/>
              <w:pageBreakBefore w:val="0"/>
              <w:widowControl w:val="0"/>
              <w:kinsoku/>
              <w:wordWrap/>
              <w:overflowPunct/>
              <w:topLinePunct w:val="0"/>
              <w:bidi w:val="0"/>
              <w:snapToGrid/>
              <w:spacing w:line="400" w:lineRule="exact"/>
              <w:ind w:firstLine="300" w:firstLineChars="100"/>
              <w:textAlignment w:val="auto"/>
              <w:rPr>
                <w:rFonts w:hint="default" w:ascii="Times New Roman" w:hAnsi="Times New Roman" w:eastAsia="华文仿宋" w:cs="Times New Roman"/>
                <w:sz w:val="30"/>
                <w:szCs w:val="30"/>
              </w:rPr>
            </w:pPr>
          </w:p>
          <w:p>
            <w:pPr>
              <w:keepNext w:val="0"/>
              <w:keepLines w:val="0"/>
              <w:pageBreakBefore w:val="0"/>
              <w:widowControl w:val="0"/>
              <w:kinsoku/>
              <w:wordWrap/>
              <w:overflowPunct/>
              <w:topLinePunct w:val="0"/>
              <w:bidi w:val="0"/>
              <w:snapToGrid/>
              <w:spacing w:line="400" w:lineRule="exact"/>
              <w:ind w:firstLine="300" w:firstLineChars="100"/>
              <w:textAlignment w:val="auto"/>
              <w:rPr>
                <w:rFonts w:hint="default" w:ascii="Times New Roman" w:hAnsi="Times New Roman" w:eastAsia="华文仿宋" w:cs="Times New Roman"/>
                <w:sz w:val="30"/>
                <w:szCs w:val="30"/>
              </w:rPr>
            </w:pPr>
          </w:p>
          <w:p>
            <w:pPr>
              <w:keepNext w:val="0"/>
              <w:keepLines w:val="0"/>
              <w:pageBreakBefore w:val="0"/>
              <w:widowControl w:val="0"/>
              <w:kinsoku/>
              <w:wordWrap/>
              <w:overflowPunct/>
              <w:topLinePunct w:val="0"/>
              <w:bidi w:val="0"/>
              <w:snapToGrid/>
              <w:spacing w:line="400" w:lineRule="exact"/>
              <w:textAlignment w:val="auto"/>
              <w:rPr>
                <w:rFonts w:hint="default" w:ascii="Times New Roman" w:hAnsi="Times New Roman" w:eastAsia="华文仿宋" w:cs="Times New Roman"/>
                <w:sz w:val="30"/>
                <w:szCs w:val="30"/>
              </w:rPr>
            </w:pPr>
          </w:p>
          <w:p>
            <w:pPr>
              <w:keepNext w:val="0"/>
              <w:keepLines w:val="0"/>
              <w:pageBreakBefore w:val="0"/>
              <w:widowControl w:val="0"/>
              <w:kinsoku/>
              <w:wordWrap/>
              <w:overflowPunct/>
              <w:topLinePunct w:val="0"/>
              <w:bidi w:val="0"/>
              <w:snapToGrid/>
              <w:spacing w:line="400" w:lineRule="exact"/>
              <w:textAlignment w:val="auto"/>
              <w:rPr>
                <w:rFonts w:hint="default" w:ascii="Times New Roman" w:hAnsi="Times New Roman" w:eastAsia="华文仿宋" w:cs="Times New Roman"/>
                <w:sz w:val="30"/>
                <w:szCs w:val="30"/>
              </w:rPr>
            </w:pPr>
          </w:p>
          <w:p>
            <w:pPr>
              <w:keepNext w:val="0"/>
              <w:keepLines w:val="0"/>
              <w:pageBreakBefore w:val="0"/>
              <w:widowControl w:val="0"/>
              <w:kinsoku/>
              <w:wordWrap/>
              <w:overflowPunct/>
              <w:topLinePunct w:val="0"/>
              <w:bidi w:val="0"/>
              <w:snapToGrid/>
              <w:spacing w:line="400" w:lineRule="exact"/>
              <w:ind w:firstLine="3900" w:firstLineChars="13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单位（盖</w:t>
            </w:r>
            <w:r>
              <w:rPr>
                <w:rFonts w:hint="eastAsia" w:ascii="仿宋_GB2312" w:hAnsi="仿宋_GB2312" w:eastAsia="仿宋_GB2312" w:cs="仿宋_GB2312"/>
                <w:sz w:val="30"/>
                <w:szCs w:val="30"/>
              </w:rPr>
              <w:t>章</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 xml:space="preserve">：               </w:t>
            </w:r>
          </w:p>
          <w:p>
            <w:pPr>
              <w:keepNext w:val="0"/>
              <w:keepLines w:val="0"/>
              <w:pageBreakBefore w:val="0"/>
              <w:widowControl w:val="0"/>
              <w:kinsoku/>
              <w:wordWrap/>
              <w:overflowPunct/>
              <w:topLinePunct w:val="0"/>
              <w:bidi w:val="0"/>
              <w:snapToGrid/>
              <w:spacing w:line="400" w:lineRule="exact"/>
              <w:ind w:firstLine="4500" w:firstLineChars="1500"/>
              <w:textAlignment w:val="auto"/>
              <w:rPr>
                <w:rFonts w:hint="eastAsia" w:ascii="Times New Roman" w:hAnsi="Times New Roman" w:eastAsia="华文仿宋" w:cs="Times New Roman"/>
                <w:sz w:val="30"/>
                <w:szCs w:val="30"/>
                <w:lang w:val="en-US" w:eastAsia="zh-CN"/>
              </w:rPr>
            </w:pPr>
            <w:r>
              <w:rPr>
                <w:rFonts w:hint="eastAsia" w:ascii="仿宋_GB2312" w:hAnsi="仿宋_GB2312" w:eastAsia="仿宋_GB2312" w:cs="仿宋_GB2312"/>
                <w:sz w:val="30"/>
                <w:szCs w:val="30"/>
                <w:lang w:eastAsia="zh-CN"/>
              </w:rPr>
              <w:t>年</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月</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日</w:t>
            </w:r>
          </w:p>
        </w:tc>
      </w:tr>
    </w:tbl>
    <w:p>
      <w:pPr>
        <w:pStyle w:val="14"/>
        <w:keepNext w:val="0"/>
        <w:keepLines w:val="0"/>
        <w:pageBreakBefore w:val="0"/>
        <w:widowControl w:val="0"/>
        <w:kinsoku/>
        <w:topLinePunct w:val="0"/>
        <w:bidi w:val="0"/>
        <w:sectPr>
          <w:pgSz w:w="11906" w:h="16838"/>
          <w:pgMar w:top="1928" w:right="1474" w:bottom="1701" w:left="1587" w:header="964" w:footer="1332" w:gutter="0"/>
          <w:pgNumType w:fmt="numberInDash"/>
          <w:cols w:space="0" w:num="1"/>
          <w:rtlGutter w:val="0"/>
          <w:docGrid w:type="lines" w:linePitch="330" w:charSpace="0"/>
        </w:sectPr>
      </w:pPr>
    </w:p>
    <w:p>
      <w:pPr>
        <w:keepNext w:val="0"/>
        <w:keepLines w:val="0"/>
        <w:pageBreakBefore w:val="0"/>
        <w:widowControl w:val="0"/>
        <w:kinsoku/>
        <w:topLinePunct w:val="0"/>
        <w:bidi w:val="0"/>
        <w:rPr>
          <w:rFonts w:hint="eastAsia"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eastAsia="zh-CN"/>
        </w:rPr>
        <w:t>附件</w:t>
      </w:r>
      <w:r>
        <w:rPr>
          <w:rFonts w:hint="eastAsia" w:ascii="黑体" w:hAnsi="黑体" w:eastAsia="黑体" w:cs="黑体"/>
          <w:sz w:val="32"/>
          <w:szCs w:val="32"/>
          <w:shd w:val="clear" w:color="auto" w:fill="FFFFFF"/>
          <w:lang w:val="en-US" w:eastAsia="zh-CN"/>
        </w:rPr>
        <w:t>4</w:t>
      </w:r>
    </w:p>
    <w:p>
      <w:pPr>
        <w:keepNext w:val="0"/>
        <w:keepLines w:val="0"/>
        <w:pageBreakBefore w:val="0"/>
        <w:widowControl w:val="0"/>
        <w:kinsoku/>
        <w:topLinePunct w:val="0"/>
        <w:bidi w:val="0"/>
        <w:jc w:val="center"/>
        <w:rPr>
          <w:rFonts w:hint="default" w:ascii="Times New Roman" w:hAnsi="Times New Roman" w:eastAsia="方正小标宋简体" w:cs="Times New Roman"/>
          <w:sz w:val="44"/>
          <w:szCs w:val="44"/>
          <w:shd w:val="clear" w:color="auto" w:fill="FFFFFF"/>
          <w:lang w:val="en-US" w:eastAsia="zh-CN"/>
        </w:rPr>
      </w:pPr>
      <w:r>
        <w:rPr>
          <w:rFonts w:hint="eastAsia" w:ascii="Times New Roman" w:hAnsi="Times New Roman" w:eastAsia="方正小标宋简体" w:cs="Times New Roman"/>
          <w:sz w:val="44"/>
          <w:szCs w:val="44"/>
          <w:shd w:val="clear" w:color="auto" w:fill="FFFFFF"/>
          <w:lang w:val="en-US" w:eastAsia="zh-CN"/>
        </w:rPr>
        <w:t>福建</w:t>
      </w:r>
      <w:r>
        <w:rPr>
          <w:rFonts w:hint="default" w:ascii="Times New Roman" w:hAnsi="Times New Roman" w:eastAsia="方正小标宋简体" w:cs="Times New Roman"/>
          <w:sz w:val="44"/>
          <w:szCs w:val="44"/>
          <w:shd w:val="clear" w:color="auto" w:fill="FFFFFF"/>
          <w:lang w:val="en-US" w:eastAsia="zh-CN"/>
        </w:rPr>
        <w:t>省</w:t>
      </w:r>
      <w:r>
        <w:rPr>
          <w:rFonts w:hint="default" w:ascii="Times New Roman" w:hAnsi="Times New Roman" w:eastAsia="方正小标宋简体" w:cs="Times New Roman"/>
          <w:sz w:val="44"/>
          <w:szCs w:val="44"/>
        </w:rPr>
        <w:t>幼小衔接</w:t>
      </w:r>
      <w:r>
        <w:rPr>
          <w:rFonts w:hint="eastAsia" w:ascii="Times New Roman" w:hAnsi="Times New Roman" w:eastAsia="方正小标宋简体" w:cs="Times New Roman"/>
          <w:sz w:val="44"/>
          <w:szCs w:val="44"/>
          <w:shd w:val="clear" w:color="auto" w:fill="FFFFFF"/>
          <w:lang w:val="en-US" w:eastAsia="zh-CN"/>
        </w:rPr>
        <w:t>试点校（园）情况汇总</w:t>
      </w:r>
      <w:r>
        <w:rPr>
          <w:rFonts w:hint="default" w:ascii="Times New Roman" w:hAnsi="Times New Roman" w:eastAsia="方正小标宋简体" w:cs="Times New Roman"/>
          <w:sz w:val="44"/>
          <w:szCs w:val="44"/>
          <w:shd w:val="clear" w:color="auto" w:fill="FFFFFF"/>
          <w:lang w:val="en-US" w:eastAsia="zh-CN"/>
        </w:rPr>
        <w:t>表</w:t>
      </w:r>
    </w:p>
    <w:p>
      <w:pPr>
        <w:keepNext w:val="0"/>
        <w:keepLines w:val="0"/>
        <w:pageBreakBefore w:val="0"/>
        <w:widowControl w:val="0"/>
        <w:kinsoku/>
        <w:topLinePunct w:val="0"/>
        <w:bidi w:val="0"/>
        <w:rPr>
          <w:rFonts w:hint="eastAsia" w:ascii="Times New Roman" w:hAnsi="Times New Roman" w:eastAsia="仿宋_GB2312" w:cs="Times New Roman"/>
          <w:sz w:val="24"/>
          <w:szCs w:val="24"/>
          <w:shd w:val="clear" w:color="auto" w:fill="FFFFFF"/>
          <w:lang w:val="en-US" w:eastAsia="zh-CN"/>
        </w:rPr>
      </w:pPr>
    </w:p>
    <w:p>
      <w:pPr>
        <w:keepNext w:val="0"/>
        <w:keepLines w:val="0"/>
        <w:pageBreakBefore w:val="0"/>
        <w:widowControl w:val="0"/>
        <w:kinsoku/>
        <w:topLinePunct w:val="0"/>
        <w:bidi w:val="0"/>
        <w:rPr>
          <w:rFonts w:hint="default" w:ascii="Times New Roman" w:hAnsi="Times New Roman" w:eastAsia="仿宋_GB2312" w:cs="Times New Roman"/>
          <w:sz w:val="24"/>
          <w:szCs w:val="24"/>
          <w:u w:val="single"/>
          <w:shd w:val="clear" w:color="auto" w:fill="FFFFFF"/>
          <w:lang w:val="en-US" w:eastAsia="zh-CN"/>
        </w:rPr>
      </w:pPr>
      <w:r>
        <w:rPr>
          <w:rFonts w:hint="eastAsia" w:ascii="Times New Roman" w:hAnsi="Times New Roman" w:eastAsia="仿宋_GB2312" w:cs="Times New Roman"/>
          <w:sz w:val="32"/>
          <w:szCs w:val="32"/>
          <w:shd w:val="clear" w:color="auto" w:fill="FFFFFF"/>
          <w:lang w:val="en-US" w:eastAsia="zh-CN"/>
        </w:rPr>
        <w:t>实验区教育局（盖章）</w:t>
      </w:r>
      <w:r>
        <w:rPr>
          <w:rFonts w:hint="default" w:ascii="Times New Roman" w:hAnsi="Times New Roman" w:eastAsia="仿宋_GB2312" w:cs="Times New Roman"/>
          <w:sz w:val="32"/>
          <w:szCs w:val="32"/>
          <w:shd w:val="clear" w:color="auto" w:fill="FFFFFF"/>
          <w:lang w:val="en-US" w:eastAsia="zh-CN"/>
        </w:rPr>
        <w:t>：</w:t>
      </w:r>
      <w:r>
        <w:rPr>
          <w:rFonts w:hint="default" w:ascii="Times New Roman" w:hAnsi="Times New Roman" w:eastAsia="仿宋_GB2312" w:cs="Times New Roman"/>
          <w:sz w:val="32"/>
          <w:szCs w:val="32"/>
          <w:u w:val="single"/>
          <w:shd w:val="clear" w:color="auto" w:fill="FFFFFF"/>
          <w:lang w:val="en-US" w:eastAsia="zh-CN"/>
        </w:rPr>
        <w:t xml:space="preserve">         </w:t>
      </w:r>
      <w:r>
        <w:rPr>
          <w:rFonts w:hint="default" w:ascii="Times New Roman" w:hAnsi="Times New Roman" w:eastAsia="仿宋_GB2312" w:cs="Times New Roman"/>
          <w:sz w:val="32"/>
          <w:szCs w:val="32"/>
          <w:u w:val="none"/>
          <w:shd w:val="clear" w:color="auto" w:fill="FFFFFF"/>
          <w:lang w:val="en-US" w:eastAsia="zh-CN"/>
        </w:rPr>
        <w:t xml:space="preserve"> </w:t>
      </w:r>
      <w:r>
        <w:rPr>
          <w:rFonts w:hint="default" w:ascii="Times New Roman" w:hAnsi="Times New Roman" w:eastAsia="仿宋_GB2312" w:cs="Times New Roman"/>
          <w:sz w:val="24"/>
          <w:szCs w:val="24"/>
          <w:u w:val="none"/>
          <w:shd w:val="clear" w:color="auto" w:fill="FFFFFF"/>
          <w:lang w:val="en-US" w:eastAsia="zh-CN"/>
        </w:rPr>
        <w:t xml:space="preserve">    </w:t>
      </w:r>
    </w:p>
    <w:tbl>
      <w:tblPr>
        <w:tblStyle w:val="8"/>
        <w:tblW w:w="9740"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2016"/>
        <w:gridCol w:w="1080"/>
        <w:gridCol w:w="1081"/>
        <w:gridCol w:w="1011"/>
        <w:gridCol w:w="959"/>
        <w:gridCol w:w="1200"/>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1023" w:type="dxa"/>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组别</w:t>
            </w:r>
          </w:p>
        </w:tc>
        <w:tc>
          <w:tcPr>
            <w:tcW w:w="2016" w:type="dxa"/>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试点校（园）名称</w:t>
            </w:r>
          </w:p>
        </w:tc>
        <w:tc>
          <w:tcPr>
            <w:tcW w:w="1080" w:type="dxa"/>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学校</w:t>
            </w:r>
          </w:p>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地点</w:t>
            </w:r>
          </w:p>
        </w:tc>
        <w:tc>
          <w:tcPr>
            <w:tcW w:w="1081" w:type="dxa"/>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学校</w:t>
            </w:r>
          </w:p>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性质</w:t>
            </w:r>
          </w:p>
        </w:tc>
        <w:tc>
          <w:tcPr>
            <w:tcW w:w="1011" w:type="dxa"/>
            <w:vAlign w:val="center"/>
          </w:tcPr>
          <w:p>
            <w:pPr>
              <w:keepNext w:val="0"/>
              <w:keepLines w:val="0"/>
              <w:pageBreakBefore w:val="0"/>
              <w:widowControl w:val="0"/>
              <w:tabs>
                <w:tab w:val="left" w:pos="221"/>
              </w:tabs>
              <w:kinsoku/>
              <w:topLinePunct w:val="0"/>
              <w:bidi w:val="0"/>
              <w:jc w:val="left"/>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学生数</w:t>
            </w:r>
          </w:p>
          <w:p>
            <w:pPr>
              <w:keepNext w:val="0"/>
              <w:keepLines w:val="0"/>
              <w:pageBreakBefore w:val="0"/>
              <w:widowControl w:val="0"/>
              <w:tabs>
                <w:tab w:val="left" w:pos="221"/>
              </w:tabs>
              <w:kinsoku/>
              <w:topLinePunct w:val="0"/>
              <w:bidi w:val="0"/>
              <w:jc w:val="left"/>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（人）</w:t>
            </w:r>
          </w:p>
        </w:tc>
        <w:tc>
          <w:tcPr>
            <w:tcW w:w="959" w:type="dxa"/>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班级数</w:t>
            </w:r>
          </w:p>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（个）</w:t>
            </w:r>
          </w:p>
        </w:tc>
        <w:tc>
          <w:tcPr>
            <w:tcW w:w="1200" w:type="dxa"/>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校(园)长</w:t>
            </w:r>
          </w:p>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姓名</w:t>
            </w:r>
          </w:p>
        </w:tc>
        <w:tc>
          <w:tcPr>
            <w:tcW w:w="1370" w:type="dxa"/>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sz w:val="24"/>
                <w:szCs w:val="24"/>
                <w:shd w:val="clear" w:color="auto" w:fill="FFFFFF"/>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exact"/>
        </w:trPr>
        <w:tc>
          <w:tcPr>
            <w:tcW w:w="1023" w:type="dxa"/>
            <w:vMerge w:val="restart"/>
            <w:vAlign w:val="center"/>
          </w:tcPr>
          <w:p>
            <w:pPr>
              <w:keepNext w:val="0"/>
              <w:keepLines w:val="0"/>
              <w:pageBreakBefore w:val="0"/>
              <w:widowControl w:val="0"/>
              <w:kinsoku/>
              <w:topLinePunct w:val="0"/>
              <w:bidi w:val="0"/>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第一组</w:t>
            </w:r>
          </w:p>
        </w:tc>
        <w:tc>
          <w:tcPr>
            <w:tcW w:w="2016"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1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959"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20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37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exact"/>
        </w:trPr>
        <w:tc>
          <w:tcPr>
            <w:tcW w:w="1023" w:type="dxa"/>
            <w:vMerge w:val="continue"/>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p>
        </w:tc>
        <w:tc>
          <w:tcPr>
            <w:tcW w:w="2016"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1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959"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20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37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exact"/>
        </w:trPr>
        <w:tc>
          <w:tcPr>
            <w:tcW w:w="1023" w:type="dxa"/>
            <w:vMerge w:val="restart"/>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kern w:val="2"/>
                <w:sz w:val="24"/>
                <w:szCs w:val="24"/>
                <w:lang w:val="en-US" w:eastAsia="zh-CN" w:bidi="ar-SA"/>
              </w:rPr>
              <w:t>第二组</w:t>
            </w:r>
          </w:p>
        </w:tc>
        <w:tc>
          <w:tcPr>
            <w:tcW w:w="2016"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1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959"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20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37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exact"/>
        </w:trPr>
        <w:tc>
          <w:tcPr>
            <w:tcW w:w="1023" w:type="dxa"/>
            <w:vMerge w:val="continue"/>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p>
        </w:tc>
        <w:tc>
          <w:tcPr>
            <w:tcW w:w="2016"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1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959"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20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37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exact"/>
        </w:trPr>
        <w:tc>
          <w:tcPr>
            <w:tcW w:w="1023" w:type="dxa"/>
            <w:vMerge w:val="restart"/>
            <w:vAlign w:val="center"/>
          </w:tcPr>
          <w:p>
            <w:pPr>
              <w:keepNext w:val="0"/>
              <w:keepLines w:val="0"/>
              <w:pageBreakBefore w:val="0"/>
              <w:widowControl w:val="0"/>
              <w:kinsoku/>
              <w:topLinePunct w:val="0"/>
              <w:bidi w:val="0"/>
              <w:jc w:val="center"/>
              <w:rPr>
                <w:rFonts w:hint="eastAsia" w:ascii="仿宋_GB2312" w:hAnsi="仿宋_GB2312" w:eastAsia="仿宋_GB2312" w:cs="仿宋_GB2312"/>
                <w:sz w:val="24"/>
                <w:szCs w:val="24"/>
                <w:shd w:val="clear" w:color="auto" w:fill="FFFFFF"/>
                <w:vertAlign w:val="baseline"/>
                <w:lang w:val="en-US" w:eastAsia="zh-CN"/>
              </w:rPr>
            </w:pPr>
            <w:r>
              <w:rPr>
                <w:rFonts w:hint="eastAsia" w:ascii="仿宋_GB2312" w:hAnsi="仿宋_GB2312" w:eastAsia="仿宋_GB2312" w:cs="仿宋_GB2312"/>
                <w:kern w:val="2"/>
                <w:sz w:val="24"/>
                <w:szCs w:val="24"/>
                <w:lang w:val="en-US" w:eastAsia="zh-CN" w:bidi="ar-SA"/>
              </w:rPr>
              <w:t>第三组</w:t>
            </w:r>
          </w:p>
        </w:tc>
        <w:tc>
          <w:tcPr>
            <w:tcW w:w="2016"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8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01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959"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20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c>
          <w:tcPr>
            <w:tcW w:w="137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4"/>
                <w:szCs w:val="24"/>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6" w:hRule="exact"/>
        </w:trPr>
        <w:tc>
          <w:tcPr>
            <w:tcW w:w="1023" w:type="dxa"/>
            <w:vMerge w:val="continue"/>
            <w:vAlign w:val="top"/>
          </w:tcPr>
          <w:p>
            <w:pPr>
              <w:keepNext w:val="0"/>
              <w:keepLines w:val="0"/>
              <w:pageBreakBefore w:val="0"/>
              <w:widowControl w:val="0"/>
              <w:kinsoku/>
              <w:topLinePunct w:val="0"/>
              <w:bidi w:val="0"/>
              <w:jc w:val="center"/>
              <w:rPr>
                <w:rFonts w:hint="default" w:ascii="Times New Roman" w:hAnsi="Times New Roman" w:eastAsia="宋体" w:cs="Times New Roman"/>
                <w:sz w:val="28"/>
                <w:szCs w:val="28"/>
                <w:shd w:val="clear" w:color="auto" w:fill="FFFFFF"/>
                <w:vertAlign w:val="baseline"/>
                <w:lang w:val="en-US" w:eastAsia="zh-CN"/>
              </w:rPr>
            </w:pPr>
          </w:p>
        </w:tc>
        <w:tc>
          <w:tcPr>
            <w:tcW w:w="2016"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8"/>
                <w:szCs w:val="28"/>
                <w:shd w:val="clear" w:color="auto" w:fill="FFFFFF"/>
                <w:vertAlign w:val="baseline"/>
                <w:lang w:val="en-US" w:eastAsia="zh-CN"/>
              </w:rPr>
            </w:pPr>
          </w:p>
        </w:tc>
        <w:tc>
          <w:tcPr>
            <w:tcW w:w="108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8"/>
                <w:szCs w:val="28"/>
                <w:shd w:val="clear" w:color="auto" w:fill="FFFFFF"/>
                <w:vertAlign w:val="baseline"/>
                <w:lang w:val="en-US" w:eastAsia="zh-CN"/>
              </w:rPr>
            </w:pPr>
          </w:p>
        </w:tc>
        <w:tc>
          <w:tcPr>
            <w:tcW w:w="108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8"/>
                <w:szCs w:val="28"/>
                <w:shd w:val="clear" w:color="auto" w:fill="FFFFFF"/>
                <w:vertAlign w:val="baseline"/>
                <w:lang w:val="en-US" w:eastAsia="zh-CN"/>
              </w:rPr>
            </w:pPr>
          </w:p>
        </w:tc>
        <w:tc>
          <w:tcPr>
            <w:tcW w:w="1011"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8"/>
                <w:szCs w:val="28"/>
                <w:shd w:val="clear" w:color="auto" w:fill="FFFFFF"/>
                <w:vertAlign w:val="baseline"/>
                <w:lang w:val="en-US" w:eastAsia="zh-CN"/>
              </w:rPr>
            </w:pPr>
          </w:p>
        </w:tc>
        <w:tc>
          <w:tcPr>
            <w:tcW w:w="959"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8"/>
                <w:szCs w:val="28"/>
                <w:shd w:val="clear" w:color="auto" w:fill="FFFFFF"/>
                <w:vertAlign w:val="baseline"/>
                <w:lang w:val="en-US" w:eastAsia="zh-CN"/>
              </w:rPr>
            </w:pPr>
          </w:p>
        </w:tc>
        <w:tc>
          <w:tcPr>
            <w:tcW w:w="120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8"/>
                <w:szCs w:val="28"/>
                <w:shd w:val="clear" w:color="auto" w:fill="FFFFFF"/>
                <w:vertAlign w:val="baseline"/>
                <w:lang w:val="en-US" w:eastAsia="zh-CN"/>
              </w:rPr>
            </w:pPr>
          </w:p>
        </w:tc>
        <w:tc>
          <w:tcPr>
            <w:tcW w:w="1370" w:type="dxa"/>
            <w:vAlign w:val="top"/>
          </w:tcPr>
          <w:p>
            <w:pPr>
              <w:keepNext w:val="0"/>
              <w:keepLines w:val="0"/>
              <w:pageBreakBefore w:val="0"/>
              <w:widowControl w:val="0"/>
              <w:kinsoku/>
              <w:topLinePunct w:val="0"/>
              <w:bidi w:val="0"/>
              <w:jc w:val="center"/>
              <w:rPr>
                <w:rFonts w:hint="default" w:ascii="Times New Roman" w:hAnsi="Times New Roman" w:eastAsia="宋体" w:cs="Times New Roman"/>
                <w:sz w:val="28"/>
                <w:szCs w:val="28"/>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3" w:hRule="exact"/>
        </w:trPr>
        <w:tc>
          <w:tcPr>
            <w:tcW w:w="9740" w:type="dxa"/>
            <w:gridSpan w:val="8"/>
            <w:vAlign w:val="top"/>
          </w:tcPr>
          <w:p>
            <w:pPr>
              <w:keepNext w:val="0"/>
              <w:keepLines w:val="0"/>
              <w:pageBreakBefore w:val="0"/>
              <w:widowControl w:val="0"/>
              <w:tabs>
                <w:tab w:val="left" w:pos="1917"/>
              </w:tabs>
              <w:kinsoku/>
              <w:wordWrap/>
              <w:overflowPunct/>
              <w:topLinePunct w:val="0"/>
              <w:autoSpaceDE/>
              <w:autoSpaceDN/>
              <w:bidi w:val="0"/>
              <w:adjustRightInd/>
              <w:snapToGrid/>
              <w:spacing w:line="460" w:lineRule="exact"/>
              <w:ind w:left="0" w:leftChars="0" w:right="0" w:rightChars="0"/>
              <w:jc w:val="left"/>
              <w:textAlignment w:val="auto"/>
              <w:outlineLvl w:val="9"/>
              <w:rPr>
                <w:rFonts w:hint="eastAsia" w:cstheme="minorBidi"/>
                <w:kern w:val="2"/>
                <w:sz w:val="24"/>
                <w:szCs w:val="24"/>
                <w:lang w:val="en-US" w:eastAsia="zh-CN" w:bidi="ar-SA"/>
              </w:rPr>
            </w:pPr>
            <w:r>
              <w:rPr>
                <w:rFonts w:hint="eastAsia" w:cstheme="minorBidi"/>
                <w:kern w:val="2"/>
                <w:sz w:val="24"/>
                <w:szCs w:val="24"/>
                <w:lang w:val="en-US" w:eastAsia="zh-CN" w:bidi="ar-SA"/>
              </w:rPr>
              <w:t>备注：1.“学校地点”栏目选择填写“城市、乡镇、农村”。</w:t>
            </w:r>
          </w:p>
          <w:p>
            <w:pPr>
              <w:keepNext w:val="0"/>
              <w:keepLines w:val="0"/>
              <w:pageBreakBefore w:val="0"/>
              <w:widowControl w:val="0"/>
              <w:numPr>
                <w:ilvl w:val="0"/>
                <w:numId w:val="0"/>
              </w:numPr>
              <w:tabs>
                <w:tab w:val="left" w:pos="1917"/>
              </w:tabs>
              <w:kinsoku/>
              <w:wordWrap/>
              <w:overflowPunct/>
              <w:topLinePunct w:val="0"/>
              <w:autoSpaceDE/>
              <w:autoSpaceDN/>
              <w:bidi w:val="0"/>
              <w:adjustRightInd/>
              <w:snapToGrid/>
              <w:spacing w:line="460" w:lineRule="exact"/>
              <w:ind w:left="960" w:leftChars="300" w:right="0" w:rightChars="0" w:hanging="240" w:hangingChars="100"/>
              <w:jc w:val="left"/>
              <w:textAlignment w:val="auto"/>
              <w:outlineLvl w:val="9"/>
              <w:rPr>
                <w:rFonts w:hint="default" w:cstheme="minorBidi"/>
                <w:kern w:val="2"/>
                <w:sz w:val="24"/>
                <w:szCs w:val="24"/>
                <w:lang w:val="en-US" w:eastAsia="zh-CN" w:bidi="ar-SA"/>
              </w:rPr>
            </w:pPr>
            <w:r>
              <w:rPr>
                <w:rFonts w:hint="eastAsia" w:cstheme="minorBidi"/>
                <w:kern w:val="2"/>
                <w:sz w:val="24"/>
                <w:szCs w:val="24"/>
                <w:lang w:val="en-US" w:eastAsia="zh-CN" w:bidi="ar-SA"/>
              </w:rPr>
              <w:t>2.“学校性质”栏目选择填写“</w:t>
            </w:r>
            <w:r>
              <w:rPr>
                <w:rFonts w:hint="default" w:cstheme="minorBidi"/>
                <w:kern w:val="2"/>
                <w:sz w:val="24"/>
                <w:szCs w:val="24"/>
                <w:lang w:val="en-US" w:eastAsia="zh-CN" w:bidi="ar-SA"/>
              </w:rPr>
              <w:t>公办园</w:t>
            </w:r>
            <w:r>
              <w:rPr>
                <w:rFonts w:hint="eastAsia" w:cstheme="minorBidi"/>
                <w:kern w:val="2"/>
                <w:sz w:val="24"/>
                <w:szCs w:val="24"/>
                <w:lang w:val="en-US" w:eastAsia="zh-CN" w:bidi="ar-SA"/>
              </w:rPr>
              <w:t>、</w:t>
            </w:r>
            <w:r>
              <w:rPr>
                <w:rFonts w:hint="default" w:cstheme="minorBidi"/>
                <w:kern w:val="2"/>
                <w:sz w:val="24"/>
                <w:szCs w:val="24"/>
                <w:lang w:val="en-US" w:eastAsia="zh-CN" w:bidi="ar-SA"/>
              </w:rPr>
              <w:t>普惠性民办园</w:t>
            </w:r>
            <w:r>
              <w:rPr>
                <w:rFonts w:hint="eastAsia" w:cstheme="minorBidi"/>
                <w:kern w:val="2"/>
                <w:sz w:val="24"/>
                <w:szCs w:val="24"/>
                <w:lang w:val="en-US" w:eastAsia="zh-CN" w:bidi="ar-SA"/>
              </w:rPr>
              <w:t>、</w:t>
            </w:r>
            <w:r>
              <w:rPr>
                <w:rFonts w:hint="default" w:cstheme="minorBidi"/>
                <w:kern w:val="2"/>
                <w:sz w:val="24"/>
                <w:szCs w:val="24"/>
                <w:lang w:val="en-US" w:eastAsia="zh-CN" w:bidi="ar-SA"/>
              </w:rPr>
              <w:t>非普惠性民办园</w:t>
            </w:r>
            <w:r>
              <w:rPr>
                <w:rFonts w:hint="eastAsia" w:cstheme="minorBidi"/>
                <w:kern w:val="2"/>
                <w:sz w:val="24"/>
                <w:szCs w:val="24"/>
                <w:lang w:val="en-US" w:eastAsia="zh-CN" w:bidi="ar-SA"/>
              </w:rPr>
              <w:t>、</w:t>
            </w:r>
            <w:r>
              <w:rPr>
                <w:rFonts w:hint="default" w:cstheme="minorBidi"/>
                <w:kern w:val="2"/>
                <w:sz w:val="24"/>
                <w:szCs w:val="24"/>
                <w:lang w:val="en-US" w:eastAsia="zh-CN" w:bidi="ar-SA"/>
              </w:rPr>
              <w:t>公办小学</w:t>
            </w:r>
            <w:r>
              <w:rPr>
                <w:rFonts w:hint="eastAsia" w:cstheme="minorBidi"/>
                <w:kern w:val="2"/>
                <w:sz w:val="24"/>
                <w:szCs w:val="24"/>
                <w:lang w:val="en-US" w:eastAsia="zh-CN" w:bidi="ar-SA"/>
              </w:rPr>
              <w:t>、</w:t>
            </w:r>
            <w:r>
              <w:rPr>
                <w:rFonts w:hint="default" w:cstheme="minorBidi"/>
                <w:kern w:val="2"/>
                <w:sz w:val="24"/>
                <w:szCs w:val="24"/>
                <w:lang w:val="en-US" w:eastAsia="zh-CN" w:bidi="ar-SA"/>
              </w:rPr>
              <w:t>民办小学</w:t>
            </w:r>
            <w:r>
              <w:rPr>
                <w:rFonts w:hint="eastAsia" w:cstheme="minorBidi"/>
                <w:kern w:val="2"/>
                <w:sz w:val="24"/>
                <w:szCs w:val="24"/>
                <w:lang w:val="en-US" w:eastAsia="zh-CN" w:bidi="ar-SA"/>
              </w:rPr>
              <w:t>”。</w:t>
            </w:r>
          </w:p>
          <w:p>
            <w:pPr>
              <w:keepNext w:val="0"/>
              <w:keepLines w:val="0"/>
              <w:pageBreakBefore w:val="0"/>
              <w:widowControl w:val="0"/>
              <w:numPr>
                <w:ilvl w:val="0"/>
                <w:numId w:val="0"/>
              </w:numPr>
              <w:tabs>
                <w:tab w:val="left" w:pos="1917"/>
              </w:tabs>
              <w:kinsoku/>
              <w:wordWrap/>
              <w:overflowPunct/>
              <w:topLinePunct w:val="0"/>
              <w:autoSpaceDE/>
              <w:autoSpaceDN/>
              <w:bidi w:val="0"/>
              <w:adjustRightInd/>
              <w:snapToGrid/>
              <w:spacing w:line="460" w:lineRule="exact"/>
              <w:ind w:left="0" w:leftChars="0" w:right="0" w:rightChars="0" w:firstLine="720" w:firstLineChars="300"/>
              <w:jc w:val="left"/>
              <w:textAlignment w:val="auto"/>
              <w:outlineLvl w:val="9"/>
              <w:rPr>
                <w:rFonts w:hint="default" w:cstheme="minorBidi"/>
                <w:kern w:val="2"/>
                <w:sz w:val="24"/>
                <w:szCs w:val="24"/>
                <w:lang w:val="en-US" w:eastAsia="zh-CN" w:bidi="ar-SA"/>
              </w:rPr>
            </w:pPr>
            <w:r>
              <w:rPr>
                <w:rFonts w:hint="eastAsia" w:cstheme="minorBidi"/>
                <w:kern w:val="2"/>
                <w:sz w:val="24"/>
                <w:szCs w:val="24"/>
                <w:lang w:val="en-US" w:eastAsia="zh-CN" w:bidi="ar-SA"/>
              </w:rPr>
              <w:t>3.相关栏目填写的信息应与申报表信息一致。</w:t>
            </w:r>
          </w:p>
        </w:tc>
      </w:tr>
    </w:tbl>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25" w:beforeLines="100" w:beforeAutospacing="0" w:after="0" w:afterAutospacing="0" w:line="600" w:lineRule="exact"/>
        <w:ind w:right="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实验区教育局分管局长：          联系方式：</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25" w:beforeLines="100" w:beforeAutospacing="0" w:after="0" w:afterAutospacing="0" w:line="600" w:lineRule="exact"/>
        <w:ind w:right="0"/>
        <w:jc w:val="both"/>
        <w:textAlignment w:val="auto"/>
        <w:rPr>
          <w:rFonts w:hint="eastAsia" w:ascii="黑体" w:hAnsi="黑体" w:eastAsia="黑体" w:cs="黑体"/>
          <w:sz w:val="32"/>
          <w:szCs w:val="32"/>
          <w:shd w:val="clear" w:color="auto" w:fill="FFFFFF"/>
          <w:lang w:eastAsia="zh-CN"/>
        </w:rPr>
      </w:pPr>
      <w:r>
        <w:rPr>
          <w:rFonts w:hint="eastAsia" w:ascii="仿宋_GB2312" w:eastAsia="仿宋_GB2312" w:hAnsiTheme="minorHAnsi" w:cstheme="minorBidi"/>
          <w:color w:val="auto"/>
          <w:kern w:val="2"/>
          <w:sz w:val="32"/>
          <w:szCs w:val="32"/>
          <w:lang w:val="en-US" w:eastAsia="zh-CN" w:bidi="ar-SA"/>
        </w:rPr>
        <w:t>牵头科室负责人：                联系方式：</w:t>
      </w:r>
    </w:p>
    <w:p>
      <w:pPr>
        <w:keepNext w:val="0"/>
        <w:keepLines w:val="0"/>
        <w:pageBreakBefore w:val="0"/>
        <w:widowControl w:val="0"/>
        <w:kinsoku/>
        <w:topLinePunct w:val="0"/>
        <w:bidi w:val="0"/>
        <w:rPr>
          <w:rFonts w:hint="eastAsia"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eastAsia="zh-CN"/>
        </w:rPr>
        <w:t>附件</w:t>
      </w:r>
      <w:r>
        <w:rPr>
          <w:rFonts w:hint="eastAsia" w:ascii="黑体" w:hAnsi="黑体" w:eastAsia="黑体" w:cs="黑体"/>
          <w:sz w:val="32"/>
          <w:szCs w:val="32"/>
          <w:shd w:val="clear" w:color="auto" w:fill="FFFFFF"/>
          <w:lang w:val="en-US" w:eastAsia="zh-CN"/>
        </w:rPr>
        <w:t>5</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Times New Roman" w:hAnsi="Times New Roman" w:eastAsia="方正小标宋简体" w:cs="Times New Roman"/>
          <w:kern w:val="2"/>
          <w:sz w:val="44"/>
          <w:szCs w:val="44"/>
          <w:shd w:val="clear" w:color="auto" w:fill="FFFFFF"/>
          <w:lang w:val="en-US" w:eastAsia="zh-CN" w:bidi="ar-SA"/>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Times New Roman" w:hAnsi="Times New Roman" w:eastAsia="方正小标宋简体" w:cs="Times New Roman"/>
          <w:kern w:val="2"/>
          <w:sz w:val="44"/>
          <w:szCs w:val="44"/>
          <w:shd w:val="clear" w:color="auto" w:fill="FFFFFF"/>
          <w:lang w:val="en-US" w:eastAsia="zh-CN" w:bidi="ar-SA"/>
        </w:rPr>
      </w:pPr>
      <w:r>
        <w:rPr>
          <w:rFonts w:hint="eastAsia" w:ascii="Times New Roman" w:hAnsi="Times New Roman" w:eastAsia="方正小标宋简体" w:cs="Times New Roman"/>
          <w:kern w:val="2"/>
          <w:sz w:val="44"/>
          <w:szCs w:val="44"/>
          <w:shd w:val="clear" w:color="auto" w:fill="FFFFFF"/>
          <w:lang w:val="en-US" w:eastAsia="zh-CN" w:bidi="ar-SA"/>
        </w:rPr>
        <w:t>福建省幼小衔接专家指导组名单</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仿宋_GB2312" w:eastAsia="仿宋_GB2312" w:hAnsiTheme="minorHAnsi" w:cstheme="minorBidi"/>
          <w:color w:val="auto"/>
          <w:kern w:val="2"/>
          <w:sz w:val="32"/>
          <w:szCs w:val="32"/>
          <w:lang w:val="en-US" w:eastAsia="zh-CN" w:bidi="ar-SA"/>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组长：</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陈凤玉（福建幼儿师范高等专科学校副校长）</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副组长：</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罗鸣亮（福建省普教室小学科负责人、小学数学教研员）</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吴荔红（福建师范大学教育学部学前教育系主任、教授）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魏  玲（福建医科大学健康学院应用心理学系副教授）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郭少榕（福建省教科所基础教育研究室主任、研究员）</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成员：</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林洵怡（福建师范大学教育学部学前教育系副教授）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黄  芳（福建医科大学营养与食品安全学系主任，副教授）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朱萍萍（福建医科大学营养与食品安全学系副教授）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郭福川（福建医科大学营养与食品安全学系副主任，副教</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2240" w:firstLineChars="7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雷雨田（泉州师院教科院特殊教育学院特殊教育专业副主</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2240" w:firstLineChars="7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任/讲师、博士）</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陈  曦（福建教育学院校长研修部正高级教师，特级教师）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彭琦凡（福建幼儿师范高等专科学校教授、福建省幼儿教</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2240" w:firstLineChars="7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师培训中心主任）</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 xml:space="preserve">吴丽芳（福建幼儿师范高等专科学校学前教育学院院长、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2240" w:firstLineChars="7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教授）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鞠远方（福建省普教室幼教科科长、幼教教研员）</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黄国才（福建省普教室小学语文教研员、特级教师）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default" w:ascii="仿宋_GB2312" w:eastAsia="仿宋_GB2312" w:hAnsiTheme="minorHAnsi" w:cstheme="minorBidi"/>
          <w:color w:val="auto"/>
          <w:kern w:val="2"/>
          <w:sz w:val="32"/>
          <w:szCs w:val="32"/>
          <w:lang w:val="en-US" w:eastAsia="zh-CN" w:bidi="ar-SA"/>
        </w:rPr>
      </w:pPr>
      <w:r>
        <w:rPr>
          <w:rFonts w:hint="eastAsia" w:ascii="仿宋_GB2312" w:eastAsia="仿宋_GB2312" w:hAnsiTheme="minorHAnsi" w:cstheme="minorBidi"/>
          <w:color w:val="auto"/>
          <w:kern w:val="2"/>
          <w:sz w:val="32"/>
          <w:szCs w:val="32"/>
          <w:lang w:val="en-US" w:eastAsia="zh-CN" w:bidi="ar-SA"/>
        </w:rPr>
        <w:t>陈建超（福建省教科所学前教育研究室主任、助理研究员）</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960" w:firstLineChars="300"/>
        <w:jc w:val="both"/>
        <w:textAlignment w:val="auto"/>
        <w:rPr>
          <w:rFonts w:hint="eastAsia" w:ascii="仿宋_GB2312" w:eastAsia="仿宋_GB2312" w:hAnsiTheme="minorHAnsi" w:cstheme="minorBidi"/>
          <w:color w:val="auto"/>
          <w:kern w:val="2"/>
          <w:sz w:val="32"/>
          <w:szCs w:val="32"/>
          <w:lang w:val="en-US" w:eastAsia="zh-CN" w:bidi="ar-SA"/>
        </w:rPr>
      </w:pPr>
      <w:bookmarkStart w:id="0" w:name="_GoBack"/>
      <w:bookmarkEnd w:id="0"/>
    </w:p>
    <w:sectPr>
      <w:footerReference r:id="rId4" w:type="default"/>
      <w:pgSz w:w="11900" w:h="16840"/>
      <w:pgMar w:top="1928" w:right="1474" w:bottom="1701" w:left="1587" w:header="964" w:footer="1332" w:gutter="0"/>
      <w:pgNumType w:fmt="numberInDash"/>
      <w:cols w:space="0" w:num="1"/>
      <w:rtlGutter w:val="0"/>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Bookman Old Style">
    <w:altName w:val="Shruti"/>
    <w:panose1 w:val="02050604050505020204"/>
    <w:charset w:val="00"/>
    <w:family w:val="roman"/>
    <w:pitch w:val="default"/>
    <w:sig w:usb0="00000000" w:usb1="000000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 w:name="小标宋">
    <w:altName w:val="方正小标宋简体"/>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_GB2312"/>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hruti">
    <w:panose1 w:val="020B0502040204020203"/>
    <w:charset w:val="00"/>
    <w:family w:val="auto"/>
    <w:pitch w:val="default"/>
    <w:sig w:usb0="0004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420"/>
  <w:drawingGridVerticalSpacing w:val="165"/>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073A"/>
    <w:rsid w:val="00177647"/>
    <w:rsid w:val="00197C04"/>
    <w:rsid w:val="00256A82"/>
    <w:rsid w:val="005515CD"/>
    <w:rsid w:val="005F3C4A"/>
    <w:rsid w:val="00614802"/>
    <w:rsid w:val="00626BD2"/>
    <w:rsid w:val="0063455F"/>
    <w:rsid w:val="00710A71"/>
    <w:rsid w:val="00725EF1"/>
    <w:rsid w:val="00757006"/>
    <w:rsid w:val="0080480C"/>
    <w:rsid w:val="0081302E"/>
    <w:rsid w:val="00823CCF"/>
    <w:rsid w:val="00872F85"/>
    <w:rsid w:val="008F4DE6"/>
    <w:rsid w:val="0093675D"/>
    <w:rsid w:val="00AA42EB"/>
    <w:rsid w:val="00AB6831"/>
    <w:rsid w:val="00C33D45"/>
    <w:rsid w:val="00C47CF5"/>
    <w:rsid w:val="00C517A5"/>
    <w:rsid w:val="00CA42DC"/>
    <w:rsid w:val="00CE42AB"/>
    <w:rsid w:val="00D15B9F"/>
    <w:rsid w:val="00EB10AA"/>
    <w:rsid w:val="00FA69ED"/>
    <w:rsid w:val="011911B4"/>
    <w:rsid w:val="0152374C"/>
    <w:rsid w:val="029F63A6"/>
    <w:rsid w:val="02A92EB7"/>
    <w:rsid w:val="03274CBF"/>
    <w:rsid w:val="032D31ED"/>
    <w:rsid w:val="0349580E"/>
    <w:rsid w:val="04C44642"/>
    <w:rsid w:val="05823B9C"/>
    <w:rsid w:val="0591512C"/>
    <w:rsid w:val="066A3F8E"/>
    <w:rsid w:val="07696EB6"/>
    <w:rsid w:val="07C740A6"/>
    <w:rsid w:val="07C87036"/>
    <w:rsid w:val="08E26803"/>
    <w:rsid w:val="095C4861"/>
    <w:rsid w:val="0B2C2FAF"/>
    <w:rsid w:val="0BD248BD"/>
    <w:rsid w:val="0BFE11CB"/>
    <w:rsid w:val="0EBD15AD"/>
    <w:rsid w:val="0F1460C8"/>
    <w:rsid w:val="10056E6E"/>
    <w:rsid w:val="10097204"/>
    <w:rsid w:val="115007CE"/>
    <w:rsid w:val="116D1D83"/>
    <w:rsid w:val="11875EE7"/>
    <w:rsid w:val="120F6149"/>
    <w:rsid w:val="123369C5"/>
    <w:rsid w:val="12450C16"/>
    <w:rsid w:val="13E04929"/>
    <w:rsid w:val="14480DA2"/>
    <w:rsid w:val="14820AAF"/>
    <w:rsid w:val="16134FFC"/>
    <w:rsid w:val="164609CA"/>
    <w:rsid w:val="164E1D9D"/>
    <w:rsid w:val="16781AE6"/>
    <w:rsid w:val="16F90DB0"/>
    <w:rsid w:val="17E36F43"/>
    <w:rsid w:val="183E7F06"/>
    <w:rsid w:val="187916CA"/>
    <w:rsid w:val="18837067"/>
    <w:rsid w:val="19555FDA"/>
    <w:rsid w:val="19635C7A"/>
    <w:rsid w:val="19A800AF"/>
    <w:rsid w:val="19F94A5C"/>
    <w:rsid w:val="1AAC680A"/>
    <w:rsid w:val="1BAA0F10"/>
    <w:rsid w:val="1BAB62EE"/>
    <w:rsid w:val="1BEB5783"/>
    <w:rsid w:val="1C72262C"/>
    <w:rsid w:val="1F0756AC"/>
    <w:rsid w:val="2028473D"/>
    <w:rsid w:val="214066A4"/>
    <w:rsid w:val="21BC3AF3"/>
    <w:rsid w:val="223B4732"/>
    <w:rsid w:val="225D57F7"/>
    <w:rsid w:val="226474AE"/>
    <w:rsid w:val="2269223D"/>
    <w:rsid w:val="23372DCA"/>
    <w:rsid w:val="233C2B80"/>
    <w:rsid w:val="23705487"/>
    <w:rsid w:val="23971DF3"/>
    <w:rsid w:val="23AE1315"/>
    <w:rsid w:val="23C863D5"/>
    <w:rsid w:val="2441621F"/>
    <w:rsid w:val="24C30E8E"/>
    <w:rsid w:val="24FA2EBD"/>
    <w:rsid w:val="251E5845"/>
    <w:rsid w:val="258A16D0"/>
    <w:rsid w:val="25A84027"/>
    <w:rsid w:val="25C24046"/>
    <w:rsid w:val="25C66B30"/>
    <w:rsid w:val="26402531"/>
    <w:rsid w:val="26AD50C1"/>
    <w:rsid w:val="26C16F4D"/>
    <w:rsid w:val="271347D9"/>
    <w:rsid w:val="27B57AB6"/>
    <w:rsid w:val="28110028"/>
    <w:rsid w:val="28345CE9"/>
    <w:rsid w:val="28DA3363"/>
    <w:rsid w:val="28F87656"/>
    <w:rsid w:val="296D0CD9"/>
    <w:rsid w:val="2A487D7A"/>
    <w:rsid w:val="2A6536B8"/>
    <w:rsid w:val="2A6C5813"/>
    <w:rsid w:val="2ACA4114"/>
    <w:rsid w:val="2AD1467C"/>
    <w:rsid w:val="2B082A94"/>
    <w:rsid w:val="2BB26B8E"/>
    <w:rsid w:val="2BF22F41"/>
    <w:rsid w:val="2C266F6C"/>
    <w:rsid w:val="2CD30DDF"/>
    <w:rsid w:val="2CE762F3"/>
    <w:rsid w:val="2CF23CF9"/>
    <w:rsid w:val="2D864B4D"/>
    <w:rsid w:val="2E3D44AB"/>
    <w:rsid w:val="2ECB1EC8"/>
    <w:rsid w:val="2EFB5ED1"/>
    <w:rsid w:val="2F2E0273"/>
    <w:rsid w:val="2FB6446E"/>
    <w:rsid w:val="317F3F4D"/>
    <w:rsid w:val="32303298"/>
    <w:rsid w:val="328E3725"/>
    <w:rsid w:val="33287FED"/>
    <w:rsid w:val="33905ED1"/>
    <w:rsid w:val="33BA3F1A"/>
    <w:rsid w:val="340E0EB3"/>
    <w:rsid w:val="34392B04"/>
    <w:rsid w:val="34E44ECE"/>
    <w:rsid w:val="350254EB"/>
    <w:rsid w:val="35377B9B"/>
    <w:rsid w:val="357167DE"/>
    <w:rsid w:val="35CC3B6C"/>
    <w:rsid w:val="36924F0F"/>
    <w:rsid w:val="371537C2"/>
    <w:rsid w:val="37831501"/>
    <w:rsid w:val="37A70818"/>
    <w:rsid w:val="37D32154"/>
    <w:rsid w:val="37D51DCE"/>
    <w:rsid w:val="37D90E7F"/>
    <w:rsid w:val="3825168B"/>
    <w:rsid w:val="387C54D6"/>
    <w:rsid w:val="39694DEA"/>
    <w:rsid w:val="399C6CDA"/>
    <w:rsid w:val="39AA06BA"/>
    <w:rsid w:val="39C122A2"/>
    <w:rsid w:val="39C268E0"/>
    <w:rsid w:val="39DC7E52"/>
    <w:rsid w:val="3A942BE6"/>
    <w:rsid w:val="3BBF50D9"/>
    <w:rsid w:val="3D122AA9"/>
    <w:rsid w:val="3D3B2A1A"/>
    <w:rsid w:val="3D826308"/>
    <w:rsid w:val="3E3A7190"/>
    <w:rsid w:val="3EBF0794"/>
    <w:rsid w:val="3EF42695"/>
    <w:rsid w:val="3F5E7161"/>
    <w:rsid w:val="3F6A7487"/>
    <w:rsid w:val="40E71FA1"/>
    <w:rsid w:val="40F821A8"/>
    <w:rsid w:val="41596CFA"/>
    <w:rsid w:val="418650B1"/>
    <w:rsid w:val="438D5F72"/>
    <w:rsid w:val="44077B34"/>
    <w:rsid w:val="445A20AF"/>
    <w:rsid w:val="454C7A73"/>
    <w:rsid w:val="464807F7"/>
    <w:rsid w:val="47400449"/>
    <w:rsid w:val="479D6C46"/>
    <w:rsid w:val="48045047"/>
    <w:rsid w:val="49295772"/>
    <w:rsid w:val="49645484"/>
    <w:rsid w:val="49CC5208"/>
    <w:rsid w:val="49D3051D"/>
    <w:rsid w:val="4A5C0580"/>
    <w:rsid w:val="4A8C2CE1"/>
    <w:rsid w:val="4B573F98"/>
    <w:rsid w:val="4C3D4E06"/>
    <w:rsid w:val="4C4A552A"/>
    <w:rsid w:val="4C4B7E24"/>
    <w:rsid w:val="4DDF16F7"/>
    <w:rsid w:val="4DE93F47"/>
    <w:rsid w:val="4E7E4AEE"/>
    <w:rsid w:val="4F2271BC"/>
    <w:rsid w:val="4F293A02"/>
    <w:rsid w:val="4FED6F46"/>
    <w:rsid w:val="50295BCD"/>
    <w:rsid w:val="50BF3E6B"/>
    <w:rsid w:val="512116ED"/>
    <w:rsid w:val="51887255"/>
    <w:rsid w:val="51E75688"/>
    <w:rsid w:val="520D6A00"/>
    <w:rsid w:val="527D24F4"/>
    <w:rsid w:val="52AC3D11"/>
    <w:rsid w:val="52CE5366"/>
    <w:rsid w:val="53222857"/>
    <w:rsid w:val="561B2987"/>
    <w:rsid w:val="562308CB"/>
    <w:rsid w:val="56562D72"/>
    <w:rsid w:val="572A683E"/>
    <w:rsid w:val="575B21BC"/>
    <w:rsid w:val="580231C3"/>
    <w:rsid w:val="58786A9B"/>
    <w:rsid w:val="58B119F8"/>
    <w:rsid w:val="593426EA"/>
    <w:rsid w:val="59923C6F"/>
    <w:rsid w:val="5A042FCD"/>
    <w:rsid w:val="5A581471"/>
    <w:rsid w:val="5AF371F2"/>
    <w:rsid w:val="5B3B538F"/>
    <w:rsid w:val="5BFE02E1"/>
    <w:rsid w:val="5C2C5257"/>
    <w:rsid w:val="5C4247B9"/>
    <w:rsid w:val="5CD91FD3"/>
    <w:rsid w:val="5CF967C2"/>
    <w:rsid w:val="5D6518E0"/>
    <w:rsid w:val="5E952F21"/>
    <w:rsid w:val="5EA03EE7"/>
    <w:rsid w:val="5F843D40"/>
    <w:rsid w:val="60924EA1"/>
    <w:rsid w:val="6185225D"/>
    <w:rsid w:val="62C45B86"/>
    <w:rsid w:val="631C233F"/>
    <w:rsid w:val="633361B8"/>
    <w:rsid w:val="63B669CB"/>
    <w:rsid w:val="64F0278A"/>
    <w:rsid w:val="65874D50"/>
    <w:rsid w:val="65F2234C"/>
    <w:rsid w:val="66160641"/>
    <w:rsid w:val="670B70DD"/>
    <w:rsid w:val="672439BE"/>
    <w:rsid w:val="67406BB1"/>
    <w:rsid w:val="67700261"/>
    <w:rsid w:val="68B65053"/>
    <w:rsid w:val="69214555"/>
    <w:rsid w:val="696F085A"/>
    <w:rsid w:val="699E30AB"/>
    <w:rsid w:val="69CF1AD6"/>
    <w:rsid w:val="69D30BD2"/>
    <w:rsid w:val="6A106F1A"/>
    <w:rsid w:val="6AD22DC9"/>
    <w:rsid w:val="6AFA2C5F"/>
    <w:rsid w:val="6B9F3920"/>
    <w:rsid w:val="6BC8079C"/>
    <w:rsid w:val="6C8F7901"/>
    <w:rsid w:val="6D153239"/>
    <w:rsid w:val="6D1A39D6"/>
    <w:rsid w:val="6D9A2D4C"/>
    <w:rsid w:val="6DB05C0B"/>
    <w:rsid w:val="6E6D2C08"/>
    <w:rsid w:val="6E804D49"/>
    <w:rsid w:val="6EB436E0"/>
    <w:rsid w:val="6F8F08CB"/>
    <w:rsid w:val="6FD7478C"/>
    <w:rsid w:val="6FDF703D"/>
    <w:rsid w:val="72587E45"/>
    <w:rsid w:val="72992984"/>
    <w:rsid w:val="73E82053"/>
    <w:rsid w:val="7449550F"/>
    <w:rsid w:val="75605DDC"/>
    <w:rsid w:val="76191EDF"/>
    <w:rsid w:val="769B12D5"/>
    <w:rsid w:val="77B06A10"/>
    <w:rsid w:val="7899518D"/>
    <w:rsid w:val="791931E9"/>
    <w:rsid w:val="794F4791"/>
    <w:rsid w:val="795B690C"/>
    <w:rsid w:val="79686E2C"/>
    <w:rsid w:val="79E077F4"/>
    <w:rsid w:val="7AE6492B"/>
    <w:rsid w:val="7B2464EA"/>
    <w:rsid w:val="7B3F02F6"/>
    <w:rsid w:val="7B6E16D6"/>
    <w:rsid w:val="7B9745B8"/>
    <w:rsid w:val="7C5E6608"/>
    <w:rsid w:val="7C81621D"/>
    <w:rsid w:val="7E5F3035"/>
    <w:rsid w:val="7EB013D9"/>
    <w:rsid w:val="7F1A05D0"/>
    <w:rsid w:val="7FD74B0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6"/>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jc w:val="left"/>
    </w:pPr>
    <w:rPr>
      <w:rFonts w:ascii="Calibri" w:hAnsi="Calibri" w:eastAsia="宋体" w:cs="Times New Roman"/>
      <w:kern w:val="0"/>
    </w:rPr>
  </w:style>
  <w:style w:type="paragraph" w:styleId="6">
    <w:name w:val="Body Text First Indent"/>
    <w:basedOn w:val="2"/>
    <w:qFormat/>
    <w:uiPriority w:val="0"/>
    <w:pPr>
      <w:ind w:firstLine="420" w:firstLineChars="100"/>
    </w:pPr>
    <w:rPr>
      <w:rFonts w:ascii="Calibri" w:hAnsi="Calibri" w:eastAsia="宋体"/>
      <w:kern w:val="0"/>
      <w:sz w:val="20"/>
      <w:szCs w:val="2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0">
    <w:name w:val="page number"/>
    <w:basedOn w:val="9"/>
    <w:qFormat/>
    <w:uiPriority w:val="0"/>
  </w:style>
  <w:style w:type="character" w:styleId="11">
    <w:name w:val="Hyperlink"/>
    <w:basedOn w:val="9"/>
    <w:unhideWhenUsed/>
    <w:qFormat/>
    <w:uiPriority w:val="99"/>
    <w:rPr>
      <w:color w:val="0000FF"/>
      <w:u w:val="single"/>
    </w:rPr>
  </w:style>
  <w:style w:type="paragraph" w:customStyle="1" w:styleId="12">
    <w:name w:val="BodyText1I"/>
    <w:basedOn w:val="13"/>
    <w:qFormat/>
    <w:uiPriority w:val="0"/>
    <w:pPr>
      <w:spacing w:after="120"/>
      <w:ind w:firstLine="420" w:firstLineChars="100"/>
      <w:jc w:val="both"/>
      <w:textAlignment w:val="baseline"/>
    </w:pPr>
    <w:rPr>
      <w:rFonts w:ascii="Calibri" w:hAnsi="Calibri" w:eastAsia="宋体"/>
      <w:kern w:val="0"/>
      <w:sz w:val="20"/>
      <w:szCs w:val="20"/>
    </w:rPr>
  </w:style>
  <w:style w:type="paragraph" w:customStyle="1" w:styleId="13">
    <w:name w:val="BodyText"/>
    <w:basedOn w:val="1"/>
    <w:qFormat/>
    <w:uiPriority w:val="0"/>
    <w:pPr>
      <w:spacing w:after="120"/>
      <w:jc w:val="both"/>
      <w:textAlignment w:val="baseline"/>
    </w:pPr>
  </w:style>
  <w:style w:type="paragraph" w:customStyle="1" w:styleId="14">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5">
    <w:name w:val="List Paragraph"/>
    <w:basedOn w:val="1"/>
    <w:qFormat/>
    <w:uiPriority w:val="34"/>
    <w:pPr>
      <w:ind w:firstLine="420" w:firstLineChars="200"/>
    </w:pPr>
  </w:style>
  <w:style w:type="character" w:customStyle="1" w:styleId="16">
    <w:name w:val="NormalCharacter"/>
    <w:link w:val="1"/>
    <w:semiHidden/>
    <w:qFormat/>
    <w:uiPriority w:val="0"/>
    <w:rPr>
      <w:rFonts w:asciiTheme="minorHAnsi" w:hAnsiTheme="minorHAnsi" w:eastAsiaTheme="minorEastAsia" w:cstheme="minorBidi"/>
      <w:kern w:val="2"/>
      <w:sz w:val="24"/>
      <w:szCs w:val="24"/>
      <w:lang w:val="en-US" w:eastAsia="zh-CN" w:bidi="ar-SA"/>
    </w:rPr>
  </w:style>
  <w:style w:type="paragraph" w:customStyle="1" w:styleId="17">
    <w:name w:val="HtmlNormal"/>
    <w:basedOn w:val="1"/>
    <w:qFormat/>
    <w:uiPriority w:val="0"/>
    <w:pPr>
      <w:spacing w:before="100" w:beforeAutospacing="1" w:after="100" w:afterAutospacing="1"/>
      <w:jc w:val="left"/>
      <w:textAlignment w:val="baseline"/>
    </w:pPr>
    <w:rPr>
      <w:rFonts w:ascii="Calibri" w:hAnsi="Calibri" w:eastAsia="宋体"/>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5512</Words>
  <Characters>5623</Characters>
  <Lines>3</Lines>
  <Paragraphs>1</Paragraphs>
  <TotalTime>66</TotalTime>
  <ScaleCrop>false</ScaleCrop>
  <LinksUpToDate>false</LinksUpToDate>
  <CharactersWithSpaces>6030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2021-04-22T12:37:00Z</dcterms:created>
  <dc:creator>包包大人</dc:creator>
  <cp:lastModifiedBy>娟</cp:lastModifiedBy>
  <cp:lastPrinted>2021-07-23T09:04:00Z</cp:lastPrinted>
  <dcterms:modified xsi:type="dcterms:W3CDTF">2021-07-28T07:29:52Z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2ABCD16CE4B84CBC8061EDDD6877AFB1</vt:lpwstr>
  </property>
</Properties>
</file>